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AACD" w14:textId="77777777" w:rsidR="00EF2041" w:rsidRDefault="00EF2041" w:rsidP="00EF2041">
      <w:pPr>
        <w:pStyle w:val="header-two"/>
        <w:shd w:val="clear" w:color="auto" w:fill="FFFFFF"/>
        <w:spacing w:before="0" w:beforeAutospacing="0" w:after="0" w:afterAutospacing="0"/>
        <w:rPr>
          <w:rFonts w:asciiTheme="minorHAnsi" w:hAnsiTheme="minorHAnsi" w:cs="Open Sans"/>
          <w:b/>
          <w:bCs/>
          <w:caps/>
          <w:sz w:val="22"/>
          <w:szCs w:val="22"/>
          <w:lang w:val="en-US"/>
        </w:rPr>
      </w:pPr>
      <w:r w:rsidRPr="00EF2041">
        <w:rPr>
          <w:rFonts w:asciiTheme="minorHAnsi" w:hAnsiTheme="minorHAnsi" w:cs="Open Sans"/>
          <w:b/>
          <w:bCs/>
          <w:caps/>
          <w:sz w:val="22"/>
          <w:szCs w:val="22"/>
          <w:lang w:val="en-US"/>
        </w:rPr>
        <w:t>INFORMATION ON PROTECTION OF PERSONAL DATA RELATED TO THE USE OF THE SGH</w:t>
      </w:r>
    </w:p>
    <w:p w14:paraId="6FA462D8" w14:textId="5CCA6731" w:rsidR="00EF2041" w:rsidRPr="00EF2041" w:rsidRDefault="00EF2041" w:rsidP="00EF2041">
      <w:pPr>
        <w:pStyle w:val="header-two"/>
        <w:shd w:val="clear" w:color="auto" w:fill="FFFFFF"/>
        <w:spacing w:before="0" w:beforeAutospacing="0" w:after="0" w:afterAutospacing="0"/>
        <w:rPr>
          <w:rFonts w:asciiTheme="minorHAnsi" w:hAnsiTheme="minorHAnsi" w:cs="Open Sans"/>
          <w:b/>
          <w:bCs/>
          <w:caps/>
          <w:sz w:val="22"/>
          <w:szCs w:val="22"/>
          <w:lang w:val="en-US"/>
        </w:rPr>
      </w:pPr>
      <w:r w:rsidRPr="00EF2041">
        <w:rPr>
          <w:rFonts w:asciiTheme="minorHAnsi" w:hAnsiTheme="minorHAnsi" w:cs="Open Sans"/>
          <w:b/>
          <w:bCs/>
          <w:caps/>
          <w:sz w:val="22"/>
          <w:szCs w:val="22"/>
          <w:lang w:val="en-US"/>
        </w:rPr>
        <w:t>ACCOUNT</w:t>
      </w:r>
      <w:r>
        <w:rPr>
          <w:rFonts w:asciiTheme="minorHAnsi" w:hAnsiTheme="minorHAnsi" w:cs="Open Sans"/>
          <w:b/>
          <w:bCs/>
          <w:caps/>
          <w:sz w:val="22"/>
          <w:szCs w:val="22"/>
          <w:lang w:val="en-US"/>
        </w:rPr>
        <w:br/>
      </w:r>
    </w:p>
    <w:p w14:paraId="1070DB61" w14:textId="77777777" w:rsidR="00EF2041" w:rsidRPr="00EF2041" w:rsidRDefault="00EF2041" w:rsidP="00EF2041">
      <w:pPr>
        <w:pStyle w:val="NormalnyWeb"/>
        <w:shd w:val="clear" w:color="auto" w:fill="FFFFFF"/>
        <w:spacing w:before="0" w:beforeAutospacing="0" w:after="120" w:afterAutospacing="0"/>
        <w:rPr>
          <w:rFonts w:asciiTheme="minorHAnsi" w:hAnsiTheme="minorHAnsi" w:cs="Open Sans"/>
          <w:sz w:val="22"/>
          <w:szCs w:val="22"/>
          <w:lang w:val="en-US"/>
        </w:rPr>
      </w:pPr>
      <w:r w:rsidRPr="00EF2041">
        <w:rPr>
          <w:rStyle w:val="semibold"/>
          <w:rFonts w:asciiTheme="minorHAnsi" w:eastAsiaTheme="majorEastAsia" w:hAnsiTheme="minorHAnsi" w:cs="Open Sans"/>
          <w:b/>
          <w:bCs/>
          <w:sz w:val="22"/>
          <w:szCs w:val="22"/>
          <w:lang w:val="en-US"/>
        </w:rPr>
        <w:t>1. Controller</w:t>
      </w:r>
      <w:r w:rsidRPr="00EF2041">
        <w:rPr>
          <w:rFonts w:asciiTheme="minorHAnsi" w:hAnsiTheme="minorHAnsi" w:cs="Open Sans"/>
          <w:sz w:val="22"/>
          <w:szCs w:val="22"/>
          <w:lang w:val="en-US"/>
        </w:rPr>
        <w:br/>
        <w:t>The controller of personal data is SGH Warsaw School of Economics with its seat in Poland, 02-554 Warsaw, at al. Niepodległości 162, hereinafter referred to as controller or SGH.</w:t>
      </w:r>
    </w:p>
    <w:p w14:paraId="549CC2B9" w14:textId="77777777" w:rsidR="00EF2041" w:rsidRPr="00EF2041" w:rsidRDefault="00EF2041" w:rsidP="00EF2041">
      <w:pPr>
        <w:pStyle w:val="NormalnyWeb"/>
        <w:shd w:val="clear" w:color="auto" w:fill="FFFFFF"/>
        <w:spacing w:before="0" w:beforeAutospacing="0" w:after="120" w:afterAutospacing="0"/>
        <w:rPr>
          <w:rFonts w:asciiTheme="minorHAnsi" w:hAnsiTheme="minorHAnsi" w:cs="Open Sans"/>
          <w:sz w:val="22"/>
          <w:szCs w:val="22"/>
          <w:lang w:val="en-US"/>
        </w:rPr>
      </w:pPr>
      <w:r w:rsidRPr="00EF2041">
        <w:rPr>
          <w:rStyle w:val="semibold"/>
          <w:rFonts w:asciiTheme="minorHAnsi" w:eastAsiaTheme="majorEastAsia" w:hAnsiTheme="minorHAnsi" w:cs="Open Sans"/>
          <w:b/>
          <w:bCs/>
          <w:sz w:val="22"/>
          <w:szCs w:val="22"/>
          <w:lang w:val="en-US"/>
        </w:rPr>
        <w:t>2. Data Protection Officer</w:t>
      </w:r>
      <w:r w:rsidRPr="00EF2041">
        <w:rPr>
          <w:rFonts w:asciiTheme="minorHAnsi" w:hAnsiTheme="minorHAnsi" w:cs="Open Sans"/>
          <w:sz w:val="22"/>
          <w:szCs w:val="22"/>
          <w:lang w:val="en-US"/>
        </w:rPr>
        <w:br/>
        <w:t>You may contact the Data Protection Officer designated by SGH via e-mail </w:t>
      </w:r>
      <w:hyperlink r:id="rId6" w:history="1">
        <w:r w:rsidRPr="00EF2041">
          <w:rPr>
            <w:rStyle w:val="Hipercze"/>
            <w:rFonts w:asciiTheme="minorHAnsi" w:eastAsiaTheme="majorEastAsia" w:hAnsiTheme="minorHAnsi" w:cs="Open Sans"/>
            <w:b/>
            <w:bCs/>
            <w:caps/>
            <w:color w:val="auto"/>
            <w:sz w:val="22"/>
            <w:szCs w:val="22"/>
            <w:lang w:val="en-US"/>
          </w:rPr>
          <w:t>iod@sgh.waw.pl</w:t>
        </w:r>
      </w:hyperlink>
      <w:r w:rsidRPr="00EF2041">
        <w:rPr>
          <w:rFonts w:asciiTheme="minorHAnsi" w:hAnsiTheme="minorHAnsi" w:cs="Open Sans"/>
          <w:sz w:val="22"/>
          <w:szCs w:val="22"/>
          <w:lang w:val="en-US"/>
        </w:rPr>
        <w:t>.</w:t>
      </w:r>
    </w:p>
    <w:p w14:paraId="1CE70CAD" w14:textId="45A8ACAD" w:rsidR="00EF2041" w:rsidRPr="00EF2041" w:rsidRDefault="00EF2041" w:rsidP="00EF2041">
      <w:pPr>
        <w:pStyle w:val="NormalnyWeb"/>
        <w:shd w:val="clear" w:color="auto" w:fill="FFFFFF"/>
        <w:spacing w:before="0" w:beforeAutospacing="0" w:after="120" w:afterAutospacing="0"/>
        <w:rPr>
          <w:rFonts w:asciiTheme="minorHAnsi" w:hAnsiTheme="minorHAnsi" w:cs="Open Sans"/>
          <w:sz w:val="22"/>
          <w:szCs w:val="22"/>
          <w:lang w:val="en-US"/>
        </w:rPr>
      </w:pPr>
      <w:r w:rsidRPr="00EF2041">
        <w:rPr>
          <w:rStyle w:val="semibold"/>
          <w:rFonts w:asciiTheme="minorHAnsi" w:eastAsiaTheme="majorEastAsia" w:hAnsiTheme="minorHAnsi" w:cs="Open Sans"/>
          <w:b/>
          <w:bCs/>
          <w:sz w:val="22"/>
          <w:szCs w:val="22"/>
          <w:lang w:val="en-US"/>
        </w:rPr>
        <w:t>3. The purposes and the legal basis of personal data processing</w:t>
      </w:r>
      <w:r w:rsidRPr="00EF2041">
        <w:rPr>
          <w:rFonts w:asciiTheme="minorHAnsi" w:hAnsiTheme="minorHAnsi" w:cs="Open Sans"/>
          <w:sz w:val="22"/>
          <w:szCs w:val="22"/>
          <w:lang w:val="en-US"/>
        </w:rPr>
        <w:br/>
        <w:t xml:space="preserve">Your personal data will be processed for the purpose of ensuring the possibility of use the SGH </w:t>
      </w:r>
      <w:r w:rsidR="00733F23">
        <w:rPr>
          <w:rFonts w:asciiTheme="minorHAnsi" w:hAnsiTheme="minorHAnsi" w:cs="Open Sans"/>
          <w:sz w:val="22"/>
          <w:szCs w:val="22"/>
          <w:lang w:val="en-US"/>
        </w:rPr>
        <w:t>A</w:t>
      </w:r>
      <w:r w:rsidRPr="00EF2041">
        <w:rPr>
          <w:rFonts w:asciiTheme="minorHAnsi" w:hAnsiTheme="minorHAnsi" w:cs="Open Sans"/>
          <w:sz w:val="22"/>
          <w:szCs w:val="22"/>
          <w:lang w:val="en-US"/>
        </w:rPr>
        <w:t>ccount, including enabling two-factor authentication, pursuant to Article 6 paragraph 1 point (f) of the GDPR  (the legitimate interests pursued by SGH is to create conditions for dealing with university matters and ensure IT security).</w:t>
      </w:r>
    </w:p>
    <w:p w14:paraId="66DDF7AD" w14:textId="4E84C6DF" w:rsidR="00EF2041" w:rsidRPr="00EF2041" w:rsidRDefault="00EF2041" w:rsidP="00EF2041">
      <w:pPr>
        <w:pStyle w:val="NormalnyWeb"/>
        <w:shd w:val="clear" w:color="auto" w:fill="FFFFFF"/>
        <w:spacing w:before="0" w:beforeAutospacing="0" w:after="120" w:afterAutospacing="0"/>
        <w:rPr>
          <w:rFonts w:asciiTheme="minorHAnsi" w:hAnsiTheme="minorHAnsi" w:cs="Open Sans"/>
          <w:sz w:val="22"/>
          <w:szCs w:val="22"/>
          <w:lang w:val="en-US"/>
        </w:rPr>
      </w:pPr>
      <w:r w:rsidRPr="00EF2041">
        <w:rPr>
          <w:rStyle w:val="semibold"/>
          <w:rFonts w:asciiTheme="minorHAnsi" w:eastAsiaTheme="majorEastAsia" w:hAnsiTheme="minorHAnsi" w:cs="Open Sans"/>
          <w:b/>
          <w:bCs/>
          <w:sz w:val="22"/>
          <w:szCs w:val="22"/>
          <w:lang w:val="en-US"/>
        </w:rPr>
        <w:t>4. Obligation to provide personal data</w:t>
      </w:r>
      <w:r w:rsidRPr="00EF2041">
        <w:rPr>
          <w:rFonts w:asciiTheme="minorHAnsi" w:hAnsiTheme="minorHAnsi" w:cs="Open Sans"/>
          <w:sz w:val="22"/>
          <w:szCs w:val="22"/>
          <w:lang w:val="en-US"/>
        </w:rPr>
        <w:br/>
        <w:t>Providing personal data shall be mandatory. In case of refusal to provide personal data will not be possible to use the IT resources.</w:t>
      </w:r>
    </w:p>
    <w:p w14:paraId="6C7395D7" w14:textId="1E958772" w:rsidR="00EF2041" w:rsidRPr="00EF2041" w:rsidRDefault="00EF2041" w:rsidP="00EF2041">
      <w:pPr>
        <w:pStyle w:val="NormalnyWeb"/>
        <w:shd w:val="clear" w:color="auto" w:fill="FFFFFF"/>
        <w:spacing w:before="0" w:beforeAutospacing="0" w:after="120" w:afterAutospacing="0"/>
        <w:rPr>
          <w:rFonts w:asciiTheme="minorHAnsi" w:hAnsiTheme="minorHAnsi" w:cs="Open Sans"/>
          <w:sz w:val="22"/>
          <w:szCs w:val="22"/>
          <w:lang w:val="en-US"/>
        </w:rPr>
      </w:pPr>
      <w:r w:rsidRPr="00EF2041">
        <w:rPr>
          <w:rStyle w:val="semibold"/>
          <w:rFonts w:asciiTheme="minorHAnsi" w:eastAsiaTheme="majorEastAsia" w:hAnsiTheme="minorHAnsi" w:cs="Open Sans"/>
          <w:b/>
          <w:bCs/>
          <w:sz w:val="22"/>
          <w:szCs w:val="22"/>
          <w:lang w:val="en-US"/>
        </w:rPr>
        <w:t>5. Recipients of the personal data</w:t>
      </w:r>
      <w:r w:rsidRPr="00EF2041">
        <w:rPr>
          <w:rFonts w:asciiTheme="minorHAnsi" w:hAnsiTheme="minorHAnsi" w:cs="Open Sans"/>
          <w:sz w:val="22"/>
          <w:szCs w:val="22"/>
          <w:lang w:val="en-US"/>
        </w:rPr>
        <w:br/>
        <w:t>Your data will not in principle be disclosed to other entities, except entities authorized under the law. If the controller uses the services of other entities, personal data may be disclosed to them on the basis of contracts entrusting the processing of personal data, and these entities will be obliged to preserve the confidentiality of the data being processed.</w:t>
      </w:r>
    </w:p>
    <w:p w14:paraId="29484BD3" w14:textId="545E10DC" w:rsidR="00EF2041" w:rsidRPr="00EF2041" w:rsidRDefault="00EF2041" w:rsidP="00EF2041">
      <w:pPr>
        <w:pStyle w:val="NormalnyWeb"/>
        <w:shd w:val="clear" w:color="auto" w:fill="FFFFFF"/>
        <w:spacing w:before="0" w:beforeAutospacing="0" w:after="120" w:afterAutospacing="0"/>
        <w:rPr>
          <w:rFonts w:asciiTheme="minorHAnsi" w:hAnsiTheme="minorHAnsi" w:cs="Open Sans"/>
          <w:sz w:val="22"/>
          <w:szCs w:val="22"/>
          <w:lang w:val="en-US"/>
        </w:rPr>
      </w:pPr>
      <w:r w:rsidRPr="00EF2041">
        <w:rPr>
          <w:rStyle w:val="semibold"/>
          <w:rFonts w:asciiTheme="minorHAnsi" w:eastAsiaTheme="majorEastAsia" w:hAnsiTheme="minorHAnsi" w:cs="Open Sans"/>
          <w:b/>
          <w:bCs/>
          <w:sz w:val="22"/>
          <w:szCs w:val="22"/>
          <w:lang w:val="en-US"/>
        </w:rPr>
        <w:t>6. The period for which the personal data will be processed</w:t>
      </w:r>
      <w:r w:rsidRPr="00EF2041">
        <w:rPr>
          <w:rFonts w:asciiTheme="minorHAnsi" w:hAnsiTheme="minorHAnsi" w:cs="Open Sans"/>
          <w:sz w:val="22"/>
          <w:szCs w:val="22"/>
          <w:lang w:val="en-US"/>
        </w:rPr>
        <w:br/>
        <w:t>Personal data will be processed for the duration of the use of the SGH Account, then for the duration of the storage of information necessary to pursue any claims.</w:t>
      </w:r>
    </w:p>
    <w:p w14:paraId="559194B9" w14:textId="36659667" w:rsidR="00EF2041" w:rsidRPr="00EF2041" w:rsidRDefault="00EF2041" w:rsidP="00EF2041">
      <w:pPr>
        <w:pStyle w:val="NormalnyWeb"/>
        <w:shd w:val="clear" w:color="auto" w:fill="FFFFFF"/>
        <w:spacing w:before="0" w:beforeAutospacing="0" w:after="120" w:afterAutospacing="0"/>
        <w:rPr>
          <w:rFonts w:asciiTheme="minorHAnsi" w:hAnsiTheme="minorHAnsi" w:cs="Open Sans"/>
          <w:sz w:val="22"/>
          <w:szCs w:val="22"/>
          <w:lang w:val="en-US"/>
        </w:rPr>
      </w:pPr>
      <w:r w:rsidRPr="00EF2041">
        <w:rPr>
          <w:rStyle w:val="semibold"/>
          <w:rFonts w:asciiTheme="minorHAnsi" w:eastAsiaTheme="majorEastAsia" w:hAnsiTheme="minorHAnsi" w:cs="Open Sans"/>
          <w:b/>
          <w:bCs/>
          <w:sz w:val="22"/>
          <w:szCs w:val="22"/>
          <w:lang w:val="en-US"/>
        </w:rPr>
        <w:t>7. Rights of data subject </w:t>
      </w:r>
      <w:r w:rsidRPr="00EF2041">
        <w:rPr>
          <w:rFonts w:asciiTheme="minorHAnsi" w:hAnsiTheme="minorHAnsi" w:cs="Open Sans"/>
          <w:sz w:val="22"/>
          <w:szCs w:val="22"/>
          <w:lang w:val="en-US"/>
        </w:rPr>
        <w:br/>
      </w:r>
      <w:r w:rsidR="00733F23" w:rsidRPr="00733F23">
        <w:rPr>
          <w:rFonts w:asciiTheme="minorHAnsi" w:hAnsiTheme="minorHAnsi" w:cs="Open Sans"/>
          <w:sz w:val="22"/>
          <w:szCs w:val="22"/>
          <w:lang w:val="en-US"/>
        </w:rPr>
        <w:t>You have the right to access your personal data, the right to their rectification, restriction of the processing and, in cases provided by law, their erasure.</w:t>
      </w:r>
      <w:r w:rsidR="00733F23">
        <w:rPr>
          <w:rFonts w:asciiTheme="minorHAnsi" w:hAnsiTheme="minorHAnsi" w:cs="Open Sans"/>
          <w:sz w:val="22"/>
          <w:szCs w:val="22"/>
          <w:lang w:val="en-US"/>
        </w:rPr>
        <w:t xml:space="preserve"> </w:t>
      </w:r>
      <w:r w:rsidRPr="00EF2041">
        <w:rPr>
          <w:rFonts w:asciiTheme="minorHAnsi" w:hAnsiTheme="minorHAnsi" w:cs="Open Sans"/>
          <w:sz w:val="22"/>
          <w:szCs w:val="22"/>
          <w:lang w:val="en-US"/>
        </w:rPr>
        <w:t>You have right to object to processing on grounds relating to your particular situation.</w:t>
      </w:r>
      <w:r w:rsidRPr="00EF2041">
        <w:rPr>
          <w:rFonts w:asciiTheme="minorHAnsi" w:hAnsiTheme="minorHAnsi" w:cs="Open Sans"/>
          <w:sz w:val="22"/>
          <w:szCs w:val="22"/>
          <w:lang w:val="en-US"/>
        </w:rPr>
        <w:br/>
        <w:t>No automated decision-making will be conducted based on your personal data. </w:t>
      </w:r>
    </w:p>
    <w:p w14:paraId="4D036A74" w14:textId="77777777" w:rsidR="00EF2041" w:rsidRPr="00EF2041" w:rsidRDefault="00EF2041" w:rsidP="00EF2041">
      <w:pPr>
        <w:pStyle w:val="NormalnyWeb"/>
        <w:shd w:val="clear" w:color="auto" w:fill="FFFFFF"/>
        <w:spacing w:before="0" w:beforeAutospacing="0" w:after="120" w:afterAutospacing="0"/>
        <w:rPr>
          <w:rFonts w:asciiTheme="minorHAnsi" w:hAnsiTheme="minorHAnsi" w:cs="Open Sans"/>
          <w:sz w:val="22"/>
          <w:szCs w:val="22"/>
          <w:lang w:val="en-US"/>
        </w:rPr>
      </w:pPr>
      <w:r w:rsidRPr="00EF2041">
        <w:rPr>
          <w:rStyle w:val="semibold"/>
          <w:rFonts w:asciiTheme="minorHAnsi" w:eastAsiaTheme="majorEastAsia" w:hAnsiTheme="minorHAnsi" w:cs="Open Sans"/>
          <w:b/>
          <w:bCs/>
          <w:sz w:val="22"/>
          <w:szCs w:val="22"/>
          <w:lang w:val="en-US"/>
        </w:rPr>
        <w:t>8. The right to lodge a complaint</w:t>
      </w:r>
      <w:r w:rsidRPr="00EF2041">
        <w:rPr>
          <w:rFonts w:asciiTheme="minorHAnsi" w:hAnsiTheme="minorHAnsi" w:cs="Open Sans"/>
          <w:sz w:val="22"/>
          <w:szCs w:val="22"/>
          <w:lang w:val="en-US"/>
        </w:rPr>
        <w:br/>
        <w:t>You have the right to lodge a complaint with the supervisory authority, i.e. the President of the Personal Data Protection Office – if you consider that the processing of your personal data infringes upon GDPR.</w:t>
      </w:r>
    </w:p>
    <w:p w14:paraId="26822FE2" w14:textId="77777777" w:rsidR="00EF2041" w:rsidRPr="00EF2041" w:rsidRDefault="00EF2041" w:rsidP="00EF2041">
      <w:pPr>
        <w:spacing w:after="0"/>
        <w:rPr>
          <w:sz w:val="22"/>
          <w:szCs w:val="22"/>
          <w:lang w:val="en-US"/>
        </w:rPr>
      </w:pPr>
    </w:p>
    <w:sectPr w:rsidR="00EF2041" w:rsidRPr="00EF20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203F" w14:textId="77777777" w:rsidR="006D4341" w:rsidRDefault="006D4341" w:rsidP="000831B5">
      <w:pPr>
        <w:spacing w:after="0" w:line="240" w:lineRule="auto"/>
      </w:pPr>
      <w:r>
        <w:separator/>
      </w:r>
    </w:p>
  </w:endnote>
  <w:endnote w:type="continuationSeparator" w:id="0">
    <w:p w14:paraId="24C09C7C" w14:textId="77777777" w:rsidR="006D4341" w:rsidRDefault="006D4341" w:rsidP="0008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B3E8A" w14:textId="77777777" w:rsidR="006D4341" w:rsidRDefault="006D4341" w:rsidP="000831B5">
      <w:pPr>
        <w:spacing w:after="0" w:line="240" w:lineRule="auto"/>
      </w:pPr>
      <w:r>
        <w:separator/>
      </w:r>
    </w:p>
  </w:footnote>
  <w:footnote w:type="continuationSeparator" w:id="0">
    <w:p w14:paraId="04A223C8" w14:textId="77777777" w:rsidR="006D4341" w:rsidRDefault="006D4341" w:rsidP="00083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41"/>
    <w:rsid w:val="000831B5"/>
    <w:rsid w:val="0021109B"/>
    <w:rsid w:val="00303B58"/>
    <w:rsid w:val="006D4341"/>
    <w:rsid w:val="00733F23"/>
    <w:rsid w:val="00881E12"/>
    <w:rsid w:val="00D62C3F"/>
    <w:rsid w:val="00EF2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03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2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F2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F204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F204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F204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F204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F204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F204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F204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204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F204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F204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F204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F204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F20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F20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F20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F2041"/>
    <w:rPr>
      <w:rFonts w:eastAsiaTheme="majorEastAsia" w:cstheme="majorBidi"/>
      <w:color w:val="272727" w:themeColor="text1" w:themeTint="D8"/>
    </w:rPr>
  </w:style>
  <w:style w:type="paragraph" w:styleId="Tytu">
    <w:name w:val="Title"/>
    <w:basedOn w:val="Normalny"/>
    <w:next w:val="Normalny"/>
    <w:link w:val="TytuZnak"/>
    <w:uiPriority w:val="10"/>
    <w:qFormat/>
    <w:rsid w:val="00EF2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F20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F204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F20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F2041"/>
    <w:pPr>
      <w:spacing w:before="160"/>
      <w:jc w:val="center"/>
    </w:pPr>
    <w:rPr>
      <w:i/>
      <w:iCs/>
      <w:color w:val="404040" w:themeColor="text1" w:themeTint="BF"/>
    </w:rPr>
  </w:style>
  <w:style w:type="character" w:customStyle="1" w:styleId="CytatZnak">
    <w:name w:val="Cytat Znak"/>
    <w:basedOn w:val="Domylnaczcionkaakapitu"/>
    <w:link w:val="Cytat"/>
    <w:uiPriority w:val="29"/>
    <w:rsid w:val="00EF2041"/>
    <w:rPr>
      <w:i/>
      <w:iCs/>
      <w:color w:val="404040" w:themeColor="text1" w:themeTint="BF"/>
    </w:rPr>
  </w:style>
  <w:style w:type="paragraph" w:styleId="Akapitzlist">
    <w:name w:val="List Paragraph"/>
    <w:basedOn w:val="Normalny"/>
    <w:uiPriority w:val="34"/>
    <w:qFormat/>
    <w:rsid w:val="00EF2041"/>
    <w:pPr>
      <w:ind w:left="720"/>
      <w:contextualSpacing/>
    </w:pPr>
  </w:style>
  <w:style w:type="character" w:styleId="Wyrnienieintensywne">
    <w:name w:val="Intense Emphasis"/>
    <w:basedOn w:val="Domylnaczcionkaakapitu"/>
    <w:uiPriority w:val="21"/>
    <w:qFormat/>
    <w:rsid w:val="00EF2041"/>
    <w:rPr>
      <w:i/>
      <w:iCs/>
      <w:color w:val="0F4761" w:themeColor="accent1" w:themeShade="BF"/>
    </w:rPr>
  </w:style>
  <w:style w:type="paragraph" w:styleId="Cytatintensywny">
    <w:name w:val="Intense Quote"/>
    <w:basedOn w:val="Normalny"/>
    <w:next w:val="Normalny"/>
    <w:link w:val="CytatintensywnyZnak"/>
    <w:uiPriority w:val="30"/>
    <w:qFormat/>
    <w:rsid w:val="00EF2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F2041"/>
    <w:rPr>
      <w:i/>
      <w:iCs/>
      <w:color w:val="0F4761" w:themeColor="accent1" w:themeShade="BF"/>
    </w:rPr>
  </w:style>
  <w:style w:type="character" w:styleId="Odwoanieintensywne">
    <w:name w:val="Intense Reference"/>
    <w:basedOn w:val="Domylnaczcionkaakapitu"/>
    <w:uiPriority w:val="32"/>
    <w:qFormat/>
    <w:rsid w:val="00EF2041"/>
    <w:rPr>
      <w:b/>
      <w:bCs/>
      <w:smallCaps/>
      <w:color w:val="0F4761" w:themeColor="accent1" w:themeShade="BF"/>
      <w:spacing w:val="5"/>
    </w:rPr>
  </w:style>
  <w:style w:type="paragraph" w:customStyle="1" w:styleId="header-two">
    <w:name w:val="header-two"/>
    <w:basedOn w:val="Normalny"/>
    <w:rsid w:val="00EF2041"/>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NormalnyWeb">
    <w:name w:val="Normal (Web)"/>
    <w:basedOn w:val="Normalny"/>
    <w:uiPriority w:val="99"/>
    <w:semiHidden/>
    <w:unhideWhenUsed/>
    <w:rsid w:val="00EF2041"/>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semibold">
    <w:name w:val="semibold"/>
    <w:basedOn w:val="Domylnaczcionkaakapitu"/>
    <w:rsid w:val="00EF2041"/>
  </w:style>
  <w:style w:type="character" w:styleId="Hipercze">
    <w:name w:val="Hyperlink"/>
    <w:basedOn w:val="Domylnaczcionkaakapitu"/>
    <w:uiPriority w:val="99"/>
    <w:semiHidden/>
    <w:unhideWhenUsed/>
    <w:rsid w:val="00EF2041"/>
    <w:rPr>
      <w:color w:val="0000FF"/>
      <w:u w:val="single"/>
    </w:rPr>
  </w:style>
  <w:style w:type="paragraph" w:styleId="Nagwek">
    <w:name w:val="header"/>
    <w:basedOn w:val="Normalny"/>
    <w:link w:val="NagwekZnak"/>
    <w:uiPriority w:val="99"/>
    <w:unhideWhenUsed/>
    <w:rsid w:val="000831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31B5"/>
  </w:style>
  <w:style w:type="paragraph" w:styleId="Stopka">
    <w:name w:val="footer"/>
    <w:basedOn w:val="Normalny"/>
    <w:link w:val="StopkaZnak"/>
    <w:uiPriority w:val="99"/>
    <w:unhideWhenUsed/>
    <w:rsid w:val="000831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3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08732">
      <w:bodyDiv w:val="1"/>
      <w:marLeft w:val="0"/>
      <w:marRight w:val="0"/>
      <w:marTop w:val="0"/>
      <w:marBottom w:val="0"/>
      <w:divBdr>
        <w:top w:val="none" w:sz="0" w:space="0" w:color="auto"/>
        <w:left w:val="none" w:sz="0" w:space="0" w:color="auto"/>
        <w:bottom w:val="none" w:sz="0" w:space="0" w:color="auto"/>
        <w:right w:val="none" w:sz="0" w:space="0" w:color="auto"/>
      </w:divBdr>
    </w:div>
    <w:div w:id="18485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sgh.waw.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1905</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2025-06-13T14:55:00Z</dcterms:created>
  <dcterms:modified xsi:type="dcterms:W3CDTF">2025-06-25T12:41:00Z</dcterms:modified>
</cp:coreProperties>
</file>