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E5EB6" w14:textId="77777777" w:rsidR="00863011" w:rsidRDefault="0080259B">
      <w:pPr>
        <w:pStyle w:val="Teksttreci0"/>
        <w:spacing w:after="280" w:line="401" w:lineRule="auto"/>
      </w:pPr>
      <w:r>
        <w:t>Appendix to Regulation No. 38 of the Rector of the SGH Warsaw School of Economics of 13 May 2022</w:t>
      </w:r>
    </w:p>
    <w:p w14:paraId="4A4E5EB7" w14:textId="740A279D" w:rsidR="00863011" w:rsidRDefault="0080259B">
      <w:pPr>
        <w:pStyle w:val="Teksttreci0"/>
        <w:spacing w:after="400"/>
      </w:pPr>
      <w:r>
        <w:rPr>
          <w:b/>
          <w:bCs/>
        </w:rPr>
        <w:t xml:space="preserve">Rules for </w:t>
      </w:r>
      <w:r w:rsidR="007E7E9F">
        <w:rPr>
          <w:b/>
          <w:bCs/>
        </w:rPr>
        <w:t>a</w:t>
      </w:r>
      <w:r>
        <w:rPr>
          <w:b/>
          <w:bCs/>
        </w:rPr>
        <w:t xml:space="preserve">warding the “SGH AMBASSADOR” </w:t>
      </w:r>
      <w:r w:rsidR="007E7E9F">
        <w:rPr>
          <w:b/>
          <w:bCs/>
        </w:rPr>
        <w:t>H</w:t>
      </w:r>
      <w:r>
        <w:rPr>
          <w:b/>
          <w:bCs/>
        </w:rPr>
        <w:t>onorary Title</w:t>
      </w:r>
    </w:p>
    <w:p w14:paraId="4A4E5EB8" w14:textId="77777777" w:rsidR="00863011" w:rsidRDefault="0080259B">
      <w:pPr>
        <w:pStyle w:val="Teksttreci0"/>
      </w:pPr>
      <w:r>
        <w:t>The establishment of the “SGH Ambassador” honorary title is a way of implementation of the SGH Warsaw School of Economics Development Strategy for 2022–2032, adopted under the Resolution No. 87 of the SGH Senate of 28 April 2021 on the SGH Warsaw School of Economics Development Strategy for 2022–2032, and aims at motivating alumni and friends of the SGH to contribute to the SGH development.</w:t>
      </w:r>
    </w:p>
    <w:p w14:paraId="4A4E5EB9" w14:textId="77777777" w:rsidR="00863011" w:rsidRDefault="0080259B">
      <w:pPr>
        <w:pStyle w:val="Teksttreci0"/>
        <w:spacing w:after="400"/>
      </w:pPr>
      <w:r>
        <w:t>In particular, they are to support the development of SGH academic staff and talented students by building relationships with the SGH environment, by sharing their knowledge and experience as well as contacts to promote SGH achievements at their universities or institutions they represent.</w:t>
      </w:r>
    </w:p>
    <w:p w14:paraId="4A4E5EBA" w14:textId="77777777" w:rsidR="00863011" w:rsidRDefault="00863011">
      <w:pPr>
        <w:pStyle w:val="Teksttreci0"/>
        <w:numPr>
          <w:ilvl w:val="0"/>
          <w:numId w:val="1"/>
        </w:numPr>
      </w:pPr>
    </w:p>
    <w:p w14:paraId="4A4E5EBB" w14:textId="77777777" w:rsidR="00863011" w:rsidRDefault="0080259B">
      <w:pPr>
        <w:pStyle w:val="Teksttreci0"/>
      </w:pPr>
      <w:r>
        <w:t>The “SGH Ambassador” honorary title may be awarded to a person engaged in</w:t>
      </w:r>
    </w:p>
    <w:p w14:paraId="4A4E5EBC" w14:textId="77777777" w:rsidR="00863011" w:rsidRDefault="0080259B">
      <w:pPr>
        <w:pStyle w:val="Teksttreci0"/>
      </w:pPr>
      <w:r>
        <w:t>activities for the benefit of the SGH, who meets the following criteria in particular:</w:t>
      </w:r>
    </w:p>
    <w:p w14:paraId="4A4E5EBD" w14:textId="77777777" w:rsidR="00863011" w:rsidRDefault="0080259B">
      <w:pPr>
        <w:pStyle w:val="Teksttreci0"/>
        <w:numPr>
          <w:ilvl w:val="0"/>
          <w:numId w:val="2"/>
        </w:numPr>
        <w:tabs>
          <w:tab w:val="left" w:pos="342"/>
        </w:tabs>
      </w:pPr>
      <w:r>
        <w:t>is a graduate or associate of the SGH;</w:t>
      </w:r>
    </w:p>
    <w:p w14:paraId="4A4E5EBE" w14:textId="77777777" w:rsidR="00863011" w:rsidRDefault="0080259B">
      <w:pPr>
        <w:pStyle w:val="Teksttreci0"/>
        <w:numPr>
          <w:ilvl w:val="0"/>
          <w:numId w:val="2"/>
        </w:numPr>
        <w:tabs>
          <w:tab w:val="left" w:pos="361"/>
        </w:tabs>
      </w:pPr>
      <w:r>
        <w:t>has a track record of supporting the SGH development, which includes building</w:t>
      </w:r>
    </w:p>
    <w:p w14:paraId="4A4E5EBF" w14:textId="77777777" w:rsidR="00863011" w:rsidRDefault="0080259B">
      <w:pPr>
        <w:pStyle w:val="Teksttreci0"/>
        <w:numPr>
          <w:ilvl w:val="0"/>
          <w:numId w:val="3"/>
        </w:numPr>
        <w:tabs>
          <w:tab w:val="left" w:pos="493"/>
        </w:tabs>
        <w:ind w:left="300"/>
      </w:pPr>
      <w:r>
        <w:t>and strengthening the SGH’s position in the academic community or socio-economic institutions abroad or in Poland;</w:t>
      </w:r>
    </w:p>
    <w:p w14:paraId="4A4E5EC0" w14:textId="77777777" w:rsidR="00863011" w:rsidRDefault="0080259B">
      <w:pPr>
        <w:pStyle w:val="Teksttreci0"/>
        <w:numPr>
          <w:ilvl w:val="0"/>
          <w:numId w:val="2"/>
        </w:numPr>
        <w:tabs>
          <w:tab w:val="left" w:pos="361"/>
        </w:tabs>
        <w:ind w:left="300" w:hanging="300"/>
      </w:pPr>
      <w:r>
        <w:t>is an active academic teacher at a foreign university or other scientific institution, or is employed at an institution important in terms of the SGH development.</w:t>
      </w:r>
    </w:p>
    <w:p w14:paraId="4A4E5EC1" w14:textId="77777777" w:rsidR="00863011" w:rsidRDefault="00863011">
      <w:pPr>
        <w:pStyle w:val="Teksttreci0"/>
        <w:numPr>
          <w:ilvl w:val="0"/>
          <w:numId w:val="1"/>
        </w:numPr>
      </w:pPr>
    </w:p>
    <w:p w14:paraId="4A4E5EC2" w14:textId="77777777" w:rsidR="00863011" w:rsidRDefault="0080259B">
      <w:pPr>
        <w:pStyle w:val="Teksttreci0"/>
        <w:numPr>
          <w:ilvl w:val="0"/>
          <w:numId w:val="4"/>
        </w:numPr>
        <w:tabs>
          <w:tab w:val="left" w:pos="318"/>
        </w:tabs>
        <w:ind w:left="300" w:hanging="300"/>
      </w:pPr>
      <w:r>
        <w:t>Each member of the SGH staff has the right to enter a candidate. The entry can be submitted to the Career and Alumni Centre (hereinafter referred to as the “Centre”) until 31 March or 30 November of each year.</w:t>
      </w:r>
    </w:p>
    <w:p w14:paraId="4A4E5EC3" w14:textId="77777777" w:rsidR="00863011" w:rsidRDefault="0080259B">
      <w:pPr>
        <w:pStyle w:val="Teksttreci0"/>
        <w:numPr>
          <w:ilvl w:val="0"/>
          <w:numId w:val="4"/>
        </w:numPr>
        <w:tabs>
          <w:tab w:val="left" w:pos="337"/>
        </w:tabs>
        <w:ind w:left="300" w:hanging="300"/>
      </w:pPr>
      <w:r>
        <w:t>The entry referred to in paragraph 1 must include a CV and a description of the candidate’s profile, together with their previous activities contributing to the SGH development.</w:t>
      </w:r>
    </w:p>
    <w:p w14:paraId="4A4E5EC4" w14:textId="77777777" w:rsidR="00863011" w:rsidRDefault="0080259B">
      <w:pPr>
        <w:pStyle w:val="Teksttreci0"/>
        <w:numPr>
          <w:ilvl w:val="0"/>
          <w:numId w:val="4"/>
        </w:numPr>
        <w:tabs>
          <w:tab w:val="left" w:pos="332"/>
        </w:tabs>
        <w:ind w:left="300" w:hanging="300"/>
      </w:pPr>
      <w:r>
        <w:t xml:space="preserve">Candidates and recommendations for the award of the “SGH Ambassador” honorary title are evaluated by the Rector’s “SGH Ambassador” Team consisting of the following persons: Vice Rector for Development – as a chairperson, Vice Rector for International Relations, Rector’s Representative for Cooperation with </w:t>
      </w:r>
      <w:r>
        <w:lastRenderedPageBreak/>
        <w:t>Foreign Universities of Special Importance to SGH, Director of the Centre, and Director of the International Centre.</w:t>
      </w:r>
    </w:p>
    <w:p w14:paraId="4A4E5EC5" w14:textId="77777777" w:rsidR="00863011" w:rsidRDefault="0080259B">
      <w:pPr>
        <w:pStyle w:val="Teksttreci0"/>
        <w:numPr>
          <w:ilvl w:val="0"/>
          <w:numId w:val="4"/>
        </w:numPr>
        <w:tabs>
          <w:tab w:val="left" w:pos="333"/>
        </w:tabs>
        <w:ind w:left="360" w:hanging="360"/>
      </w:pPr>
      <w:r>
        <w:t>The Rector awards the SGH Ambassador title at the request of the Rector’s “SGH Ambassador” Team or on his own initiative. The title award decision may be revoked following the same procedure.</w:t>
      </w:r>
    </w:p>
    <w:p w14:paraId="4A4E5EC6" w14:textId="77777777" w:rsidR="00863011" w:rsidRDefault="0080259B">
      <w:pPr>
        <w:pStyle w:val="Teksttreci0"/>
        <w:numPr>
          <w:ilvl w:val="0"/>
          <w:numId w:val="4"/>
        </w:numPr>
        <w:tabs>
          <w:tab w:val="left" w:pos="323"/>
        </w:tabs>
        <w:ind w:left="360" w:hanging="360"/>
      </w:pPr>
      <w:r>
        <w:t>The award of the “SGH Ambassador” honorary title is confirmed with a Diploma, the design of which is approved by the Rector.</w:t>
      </w:r>
    </w:p>
    <w:p w14:paraId="4A4E5EC7" w14:textId="77777777" w:rsidR="00863011" w:rsidRDefault="0080259B">
      <w:pPr>
        <w:pStyle w:val="Teksttreci0"/>
        <w:numPr>
          <w:ilvl w:val="0"/>
          <w:numId w:val="4"/>
        </w:numPr>
        <w:tabs>
          <w:tab w:val="left" w:pos="323"/>
        </w:tabs>
        <w:ind w:left="360" w:hanging="360"/>
      </w:pPr>
      <w:r>
        <w:t>The Diploma is awarded during a ceremonial meeting of the Senate to mark the SGH Celebration Day or during other academic ceremony.</w:t>
      </w:r>
    </w:p>
    <w:p w14:paraId="4A4E5EC8" w14:textId="77777777" w:rsidR="00863011" w:rsidRDefault="0080259B">
      <w:pPr>
        <w:pStyle w:val="Teksttreci0"/>
        <w:numPr>
          <w:ilvl w:val="0"/>
          <w:numId w:val="4"/>
        </w:numPr>
        <w:tabs>
          <w:tab w:val="left" w:pos="318"/>
        </w:tabs>
        <w:spacing w:after="60"/>
        <w:ind w:left="360" w:hanging="360"/>
      </w:pPr>
      <w:r>
        <w:t>The organizational services, including the registry of SGH Ambassador candidates and SGH Ambassadors, are provided by the Centre.</w:t>
      </w:r>
    </w:p>
    <w:p w14:paraId="4A4E5EC9" w14:textId="77777777" w:rsidR="00863011" w:rsidRDefault="00863011">
      <w:pPr>
        <w:pStyle w:val="Teksttreci0"/>
        <w:numPr>
          <w:ilvl w:val="0"/>
          <w:numId w:val="1"/>
        </w:numPr>
        <w:spacing w:after="60" w:line="240" w:lineRule="auto"/>
      </w:pPr>
    </w:p>
    <w:p w14:paraId="4A4E5ECA" w14:textId="77777777" w:rsidR="00863011" w:rsidRDefault="0080259B">
      <w:pPr>
        <w:pStyle w:val="Teksttreci0"/>
        <w:numPr>
          <w:ilvl w:val="0"/>
          <w:numId w:val="5"/>
        </w:numPr>
        <w:tabs>
          <w:tab w:val="left" w:pos="299"/>
        </w:tabs>
        <w:ind w:left="360" w:hanging="360"/>
      </w:pPr>
      <w:r>
        <w:t>The SGH supports SGH Ambassadors in the activities they undertake, in particular by informing them about events at the University, and providing them with opportunities to take part in these events and in projects carried out by or with the participation of the SGH.</w:t>
      </w:r>
    </w:p>
    <w:p w14:paraId="4A4E5ECB" w14:textId="77777777" w:rsidR="00863011" w:rsidRDefault="0080259B">
      <w:pPr>
        <w:pStyle w:val="Teksttreci0"/>
        <w:numPr>
          <w:ilvl w:val="0"/>
          <w:numId w:val="5"/>
        </w:numPr>
        <w:tabs>
          <w:tab w:val="left" w:pos="323"/>
        </w:tabs>
        <w:ind w:left="360" w:hanging="360"/>
      </w:pPr>
      <w:r>
        <w:t>The Rector’s Representative for Cooperation with Foreign Universities of Special Importance to SGH cooperates with SGH Ambassadors on an ongoing basis.</w:t>
      </w:r>
    </w:p>
    <w:p w14:paraId="4A4E5ECC" w14:textId="77777777" w:rsidR="00863011" w:rsidRDefault="00863011">
      <w:pPr>
        <w:pStyle w:val="Teksttreci0"/>
        <w:numPr>
          <w:ilvl w:val="0"/>
          <w:numId w:val="1"/>
        </w:numPr>
      </w:pPr>
    </w:p>
    <w:p w14:paraId="4A4E5ECD" w14:textId="77777777" w:rsidR="00863011" w:rsidRDefault="0080259B">
      <w:pPr>
        <w:pStyle w:val="Teksttreci0"/>
      </w:pPr>
      <w:r>
        <w:t>SGH Ambassadors undertake activities of their choice which contribute to the SGH development, in particular:</w:t>
      </w:r>
    </w:p>
    <w:p w14:paraId="4A4E5ECE" w14:textId="77777777" w:rsidR="00863011" w:rsidRDefault="0080259B">
      <w:pPr>
        <w:pStyle w:val="Teksttreci0"/>
        <w:numPr>
          <w:ilvl w:val="0"/>
          <w:numId w:val="6"/>
        </w:numPr>
        <w:tabs>
          <w:tab w:val="left" w:pos="333"/>
        </w:tabs>
        <w:ind w:left="440" w:hanging="440"/>
      </w:pPr>
      <w:r>
        <w:t>represent the SGH at their universities by initiating and supporting interaction of researchers and with socio-economic institutions;</w:t>
      </w:r>
    </w:p>
    <w:p w14:paraId="4A4E5ECF" w14:textId="77777777" w:rsidR="00863011" w:rsidRDefault="0080259B">
      <w:pPr>
        <w:pStyle w:val="Teksttreci0"/>
        <w:numPr>
          <w:ilvl w:val="0"/>
          <w:numId w:val="6"/>
        </w:numPr>
        <w:tabs>
          <w:tab w:val="left" w:pos="352"/>
        </w:tabs>
        <w:ind w:left="440" w:hanging="440"/>
      </w:pPr>
      <w:r>
        <w:t>foster friendly relations between the SGH and their universities or the socio-economic institutions they represent;</w:t>
      </w:r>
    </w:p>
    <w:p w14:paraId="4A4E5ED0" w14:textId="77777777" w:rsidR="00863011" w:rsidRDefault="0080259B">
      <w:pPr>
        <w:pStyle w:val="Teksttreci0"/>
        <w:numPr>
          <w:ilvl w:val="0"/>
          <w:numId w:val="6"/>
        </w:numPr>
        <w:tabs>
          <w:tab w:val="left" w:pos="352"/>
        </w:tabs>
        <w:ind w:left="440" w:hanging="440"/>
      </w:pPr>
      <w:r>
        <w:t>cooperate with SGH academic teachers for the purpose of joint scientific research and co-authorship of scientific articles, as well as joint organisation of conferences and seminars (promote these events at their universities or socio-economic institutions);</w:t>
      </w:r>
    </w:p>
    <w:p w14:paraId="4A4E5ED1" w14:textId="77777777" w:rsidR="00863011" w:rsidRDefault="0080259B">
      <w:pPr>
        <w:pStyle w:val="Teksttreci0"/>
        <w:numPr>
          <w:ilvl w:val="0"/>
          <w:numId w:val="6"/>
        </w:numPr>
        <w:tabs>
          <w:tab w:val="left" w:pos="357"/>
        </w:tabs>
        <w:ind w:left="440" w:hanging="440"/>
      </w:pPr>
      <w:r>
        <w:t>promote the SGH in the academic community or socio-economic institutions abroad or in Poland;</w:t>
      </w:r>
    </w:p>
    <w:p w14:paraId="4A4E5ED2" w14:textId="77777777" w:rsidR="00863011" w:rsidRDefault="0080259B">
      <w:pPr>
        <w:pStyle w:val="Teksttreci0"/>
        <w:numPr>
          <w:ilvl w:val="0"/>
          <w:numId w:val="6"/>
        </w:numPr>
        <w:tabs>
          <w:tab w:val="left" w:pos="352"/>
        </w:tabs>
        <w:ind w:left="440" w:hanging="440"/>
      </w:pPr>
      <w:r>
        <w:t>initiate and support exchange programmes for academic staff, including study visits by SGH academic teachers in foreign scientific or socio-economic institutions;</w:t>
      </w:r>
    </w:p>
    <w:p w14:paraId="4A4E5ED3" w14:textId="77777777" w:rsidR="00863011" w:rsidRDefault="0080259B">
      <w:pPr>
        <w:pStyle w:val="Teksttreci0"/>
        <w:numPr>
          <w:ilvl w:val="0"/>
          <w:numId w:val="6"/>
        </w:numPr>
        <w:tabs>
          <w:tab w:val="left" w:pos="372"/>
        </w:tabs>
        <w:ind w:left="420" w:hanging="420"/>
        <w:jc w:val="both"/>
      </w:pPr>
      <w:r>
        <w:t xml:space="preserve">support student exchanges between the SGH and the SGH Ambassadors’ </w:t>
      </w:r>
      <w:r>
        <w:lastRenderedPageBreak/>
        <w:t>universities, as well as the organisation of lectures and seminars for SGH academic teachers and students, including as part of cooperation with the Doctoral School.</w:t>
      </w:r>
    </w:p>
    <w:p w14:paraId="4A4E5ED4" w14:textId="77777777" w:rsidR="00863011" w:rsidRDefault="00863011">
      <w:pPr>
        <w:pStyle w:val="Teksttreci0"/>
        <w:numPr>
          <w:ilvl w:val="0"/>
          <w:numId w:val="1"/>
        </w:numPr>
      </w:pPr>
    </w:p>
    <w:p w14:paraId="4A4E5ED5" w14:textId="77777777" w:rsidR="00863011" w:rsidRDefault="0080259B">
      <w:pPr>
        <w:pStyle w:val="Teksttreci0"/>
      </w:pPr>
      <w:r>
        <w:t>SGH reserves the right to amend these Rules, including to withdraw from awarding the “SGH Ambassador” title, at any time without prior notice.</w:t>
      </w:r>
    </w:p>
    <w:sectPr w:rsidR="00863011">
      <w:footerReference w:type="default" r:id="rId10"/>
      <w:pgSz w:w="11900" w:h="16840"/>
      <w:pgMar w:top="706" w:right="1437" w:bottom="1423" w:left="1348" w:header="278"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DBD3E" w14:textId="77777777" w:rsidR="00A524FA" w:rsidRDefault="00A524FA">
      <w:r>
        <w:separator/>
      </w:r>
    </w:p>
  </w:endnote>
  <w:endnote w:type="continuationSeparator" w:id="0">
    <w:p w14:paraId="26463203" w14:textId="77777777" w:rsidR="00A524FA" w:rsidRDefault="00A5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E5ED8" w14:textId="77777777" w:rsidR="00863011" w:rsidRDefault="0080259B">
    <w:pPr>
      <w:spacing w:line="1" w:lineRule="exact"/>
    </w:pPr>
    <w:r>
      <w:rPr>
        <w:noProof/>
      </w:rPr>
      <mc:AlternateContent>
        <mc:Choice Requires="wps">
          <w:drawing>
            <wp:anchor distT="0" distB="0" distL="0" distR="0" simplePos="0" relativeHeight="62914690" behindDoc="1" locked="0" layoutInCell="1" allowOverlap="1" wp14:anchorId="4A4E5ED9" wp14:editId="4A4E5EDA">
              <wp:simplePos x="0" y="0"/>
              <wp:positionH relativeFrom="page">
                <wp:posOffset>6570980</wp:posOffset>
              </wp:positionH>
              <wp:positionV relativeFrom="page">
                <wp:posOffset>9933940</wp:posOffset>
              </wp:positionV>
              <wp:extent cx="39370" cy="109855"/>
              <wp:effectExtent l="0" t="0" r="0" b="0"/>
              <wp:wrapNone/>
              <wp:docPr id="1" name="Shape 1"/>
              <wp:cNvGraphicFramePr/>
              <a:graphic xmlns:a="http://schemas.openxmlformats.org/drawingml/2006/main">
                <a:graphicData uri="http://schemas.microsoft.com/office/word/2010/wordprocessingShape">
                  <wps:wsp>
                    <wps:cNvSpPr txBox="1"/>
                    <wps:spPr>
                      <a:xfrm>
                        <a:off x="0" y="0"/>
                        <a:ext cx="39370" cy="109855"/>
                      </a:xfrm>
                      <a:prstGeom prst="rect">
                        <a:avLst/>
                      </a:prstGeom>
                      <a:noFill/>
                    </wps:spPr>
                    <wps:txbx>
                      <w:txbxContent>
                        <w:p w14:paraId="4A4E5EDB" w14:textId="77777777" w:rsidR="00863011" w:rsidRDefault="0080259B">
                          <w:pPr>
                            <w:pStyle w:val="Nagweklubstopka20"/>
                            <w:rPr>
                              <w:sz w:val="24"/>
                              <w:szCs w:val="24"/>
                            </w:rPr>
                          </w:pPr>
                          <w:r>
                            <w:fldChar w:fldCharType="begin"/>
                          </w:r>
                          <w:r>
                            <w:instrText xml:space="preserve"> PAGE \* MERGEFORMAT </w:instrText>
                          </w:r>
                          <w:r>
                            <w:fldChar w:fldCharType="separate"/>
                          </w:r>
                          <w:r>
                            <w:rPr>
                              <w:rFonts w:ascii="Arial" w:eastAsia="Arial" w:hAnsi="Arial" w:cs="Arial"/>
                              <w:sz w:val="24"/>
                              <w:szCs w:val="24"/>
                            </w:rPr>
                            <w:t>#</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w14:anchorId="4A4E5ED9" id="_x0000_t202" coordsize="21600,21600" o:spt="202" path="m,l,21600r21600,l21600,xe">
              <v:stroke joinstyle="miter"/>
              <v:path gradientshapeok="t" o:connecttype="rect"/>
            </v:shapetype>
            <v:shape id="Shape 1" o:spid="_x0000_s1026" type="#_x0000_t202" style="position:absolute;margin-left:517.4pt;margin-top:782.2pt;width:3.1pt;height:8.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" filled="f" stroked="f">
              <v:textbox style="mso-fit-shape-to-text:t" inset="0,0,0,0">
                <w:txbxContent>
                  <w:p w14:paraId="4A4E5EDB" w14:textId="77777777" w:rsidR="00863011" w:rsidRDefault="0080259B">
                    <w:pPr>
                      <w:pStyle w:val="Nagweklubstopka20"/>
                      <w:rPr>
                        <w:sz w:val="24"/>
                        <w:szCs w:val="24"/>
                      </w:rPr>
                    </w:pPr>
                    <w:r>
                      <w:fldChar w:fldCharType="begin"/>
                    </w:r>
                    <w:r>
                      <w:instrText xml:space="preserve"> PAGE \* MERGEFORMAT </w:instrText>
                    </w:r>
                    <w:r>
                      <w:fldChar w:fldCharType="separate"/>
                    </w:r>
                    <w:r>
                      <w:rPr>
                        <w:rFonts w:ascii="Arial" w:eastAsia="Arial" w:hAnsi="Arial" w:cs="Arial"/>
                        <w:sz w:val="24"/>
                        <w:szCs w:val="24"/>
                      </w:rPr>
                      <w:t>#</w:t>
                    </w:r>
                    <w:r>
                      <w:rPr>
                        <w:rFonts w:ascii="Arial" w:eastAsia="Arial" w:hAnsi="Arial" w:cs="Arial"/>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FF396" w14:textId="77777777" w:rsidR="00A524FA" w:rsidRDefault="00A524FA"/>
  </w:footnote>
  <w:footnote w:type="continuationSeparator" w:id="0">
    <w:p w14:paraId="413C1156" w14:textId="77777777" w:rsidR="00A524FA" w:rsidRDefault="00A524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F37D7"/>
    <w:multiLevelType w:val="multilevel"/>
    <w:tmpl w:val="EA9A95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934121"/>
    <w:multiLevelType w:val="multilevel"/>
    <w:tmpl w:val="86284950"/>
    <w:lvl w:ilvl="0">
      <w:start w:val="1"/>
      <w:numFmt w:val="decimal"/>
      <w:lvlText w:val="§ %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9A4099"/>
    <w:multiLevelType w:val="multilevel"/>
    <w:tmpl w:val="FC40D2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F623EC"/>
    <w:multiLevelType w:val="multilevel"/>
    <w:tmpl w:val="A14A160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40A6ABA"/>
    <w:multiLevelType w:val="multilevel"/>
    <w:tmpl w:val="445A89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052356"/>
    <w:multiLevelType w:val="multilevel"/>
    <w:tmpl w:val="A3F8DD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6401137">
    <w:abstractNumId w:val="1"/>
  </w:num>
  <w:num w:numId="2" w16cid:durableId="416243740">
    <w:abstractNumId w:val="0"/>
  </w:num>
  <w:num w:numId="3" w16cid:durableId="902980893">
    <w:abstractNumId w:val="5"/>
  </w:num>
  <w:num w:numId="4" w16cid:durableId="884366095">
    <w:abstractNumId w:val="3"/>
  </w:num>
  <w:num w:numId="5" w16cid:durableId="326985201">
    <w:abstractNumId w:val="2"/>
  </w:num>
  <w:num w:numId="6" w16cid:durableId="2015451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ocumentProtection w:edit="readOnly" w:enforcement="1" w:cryptProviderType="rsaAES" w:cryptAlgorithmClass="hash" w:cryptAlgorithmType="typeAny" w:cryptAlgorithmSid="14" w:cryptSpinCount="100000" w:hash="TikXlBGPXpEbjWV8VVF/JFxdw7m01tSxF9RKnrCZcUFQPrcmmfNOuFFbtC4akxirXpPm/izLE+uX4BJU2jEs5Q==" w:salt="41GK2nHvTETKa4SbwkKDAA=="/>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63011"/>
    <w:rsid w:val="000D7C68"/>
    <w:rsid w:val="00294620"/>
    <w:rsid w:val="002A649B"/>
    <w:rsid w:val="007E7E9F"/>
    <w:rsid w:val="0080259B"/>
    <w:rsid w:val="00863011"/>
    <w:rsid w:val="00921E07"/>
    <w:rsid w:val="00A524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E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n-GB"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Arial" w:eastAsia="Arial" w:hAnsi="Arial" w:cs="Arial"/>
      <w:b w:val="0"/>
      <w:bCs w:val="0"/>
      <w:i w:val="0"/>
      <w:iCs w:val="0"/>
      <w:smallCaps w:val="0"/>
      <w:strike w:val="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paragraph" w:customStyle="1" w:styleId="Teksttreci0">
    <w:name w:val="Tekst treści"/>
    <w:basedOn w:val="Normalny"/>
    <w:link w:val="Teksttreci"/>
    <w:pPr>
      <w:spacing w:line="360" w:lineRule="auto"/>
    </w:pPr>
    <w:rPr>
      <w:rFonts w:ascii="Arial" w:eastAsia="Arial" w:hAnsi="Arial" w:cs="Arial"/>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2A649B"/>
    <w:pPr>
      <w:tabs>
        <w:tab w:val="center" w:pos="4536"/>
        <w:tab w:val="right" w:pos="9072"/>
      </w:tabs>
    </w:pPr>
  </w:style>
  <w:style w:type="character" w:customStyle="1" w:styleId="NagwekZnak">
    <w:name w:val="Nagłówek Znak"/>
    <w:basedOn w:val="Domylnaczcionkaakapitu"/>
    <w:link w:val="Nagwek"/>
    <w:uiPriority w:val="99"/>
    <w:rsid w:val="002A649B"/>
    <w:rPr>
      <w:color w:val="000000"/>
    </w:rPr>
  </w:style>
  <w:style w:type="paragraph" w:styleId="Stopka">
    <w:name w:val="footer"/>
    <w:basedOn w:val="Normalny"/>
    <w:link w:val="StopkaZnak"/>
    <w:uiPriority w:val="99"/>
    <w:unhideWhenUsed/>
    <w:rsid w:val="002A649B"/>
    <w:pPr>
      <w:tabs>
        <w:tab w:val="center" w:pos="4536"/>
        <w:tab w:val="right" w:pos="9072"/>
      </w:tabs>
    </w:pPr>
  </w:style>
  <w:style w:type="character" w:customStyle="1" w:styleId="StopkaZnak">
    <w:name w:val="Stopka Znak"/>
    <w:basedOn w:val="Domylnaczcionkaakapitu"/>
    <w:link w:val="Stopka"/>
    <w:uiPriority w:val="99"/>
    <w:rsid w:val="002A649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7ed8d3-e569-4e7c-869d-84fc11b4c16e">
      <Terms xmlns="http://schemas.microsoft.com/office/infopath/2007/PartnerControls"/>
    </lcf76f155ced4ddcb4097134ff3c332f>
    <TaxCatchAll xmlns="deace152-2301-4091-97b9-67fb92afba98"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9FC0D22EF7F1042AA406C31BFEAC8BC" ma:contentTypeVersion="19" ma:contentTypeDescription="Utwórz nowy dokument." ma:contentTypeScope="" ma:versionID="78e9dcb1c1d78400e2ad7dcedadc1b5e">
  <xsd:schema xmlns:xsd="http://www.w3.org/2001/XMLSchema" xmlns:xs="http://www.w3.org/2001/XMLSchema" xmlns:p="http://schemas.microsoft.com/office/2006/metadata/properties" xmlns:ns1="http://schemas.microsoft.com/sharepoint/v3" xmlns:ns2="bd7ed8d3-e569-4e7c-869d-84fc11b4c16e" xmlns:ns3="deace152-2301-4091-97b9-67fb92afba98" targetNamespace="http://schemas.microsoft.com/office/2006/metadata/properties" ma:root="true" ma:fieldsID="66873b2fa819bbfeb810e9d35ccc7ff6" ns1:_="" ns2:_="" ns3:_="">
    <xsd:import namespace="http://schemas.microsoft.com/sharepoint/v3"/>
    <xsd:import namespace="bd7ed8d3-e569-4e7c-869d-84fc11b4c16e"/>
    <xsd:import namespace="deace152-2301-4091-97b9-67fb92afba9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9"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7ed8d3-e569-4e7c-869d-84fc11b4c1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f3b0eaab-e919-410b-ae59-affa80a2d0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ce152-2301-4091-97b9-67fb92afba98"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3875a21c-e9ed-4c31-8299-178ddcf77a4b}" ma:internalName="TaxCatchAll" ma:showField="CatchAllData" ma:web="deace152-2301-4091-97b9-67fb92afb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96E80C-FAD3-4639-AE5C-52095C7147A1}">
  <ds:schemaRefs>
    <ds:schemaRef ds:uri="http://schemas.microsoft.com/sharepoint/v3/contenttype/forms"/>
  </ds:schemaRefs>
</ds:datastoreItem>
</file>

<file path=customXml/itemProps2.xml><?xml version="1.0" encoding="utf-8"?>
<ds:datastoreItem xmlns:ds="http://schemas.openxmlformats.org/officeDocument/2006/customXml" ds:itemID="{335B8496-B132-4E70-BE23-7C7BE72910DF}">
  <ds:schemaRefs>
    <ds:schemaRef ds:uri="http://schemas.microsoft.com/office/2006/metadata/properties"/>
    <ds:schemaRef ds:uri="http://schemas.microsoft.com/office/infopath/2007/PartnerControls"/>
    <ds:schemaRef ds:uri="bd7ed8d3-e569-4e7c-869d-84fc11b4c16e"/>
    <ds:schemaRef ds:uri="deace152-2301-4091-97b9-67fb92afba98"/>
    <ds:schemaRef ds:uri="http://schemas.microsoft.com/sharepoint/v3"/>
  </ds:schemaRefs>
</ds:datastoreItem>
</file>

<file path=customXml/itemProps3.xml><?xml version="1.0" encoding="utf-8"?>
<ds:datastoreItem xmlns:ds="http://schemas.openxmlformats.org/officeDocument/2006/customXml" ds:itemID="{6F89808F-A431-4A36-883B-887EEE792504}"/>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3822</Characters>
  <Application>Microsoft Office Word</Application>
  <DocSecurity>8</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2024-01-17T11:54:00Z</dcterms:created>
  <dcterms:modified xsi:type="dcterms:W3CDTF">2024-03-25T09:51:00Z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0x01010069FC0D22EF7F1042AA406C31BFEAC8BC</vt:lpwstr>
  </property>
  <property fmtid="{D5CDD505-2E9C-101B-9397-08002B2CF9AE}" pid="3" name="MediaServiceImageTags">
    <vt:lpwstr/>
  </property>
</Properties>
</file>