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58E2" w14:textId="154D71DB" w:rsidR="002E322D" w:rsidRPr="00CF016C" w:rsidRDefault="00E54A73" w:rsidP="00CF016C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Hlk44336608"/>
      <w:r w:rsidRPr="00CF016C">
        <w:rPr>
          <w:rFonts w:ascii="Arial" w:hAnsi="Arial" w:cs="Arial"/>
          <w:sz w:val="24"/>
          <w:szCs w:val="24"/>
        </w:rPr>
        <w:t xml:space="preserve">Instrukcja nr  </w:t>
      </w:r>
      <w:r w:rsidR="00D90233" w:rsidRPr="00CF016C">
        <w:rPr>
          <w:rFonts w:ascii="Arial" w:hAnsi="Arial" w:cs="Arial"/>
          <w:sz w:val="24"/>
          <w:szCs w:val="24"/>
        </w:rPr>
        <w:t>31</w:t>
      </w:r>
    </w:p>
    <w:p w14:paraId="5387E7C8" w14:textId="77777777" w:rsidR="002E322D" w:rsidRPr="00CF016C" w:rsidRDefault="00E54A73" w:rsidP="00CF016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F016C">
        <w:rPr>
          <w:rFonts w:ascii="Arial" w:hAnsi="Arial" w:cs="Arial"/>
          <w:sz w:val="24"/>
          <w:szCs w:val="24"/>
        </w:rPr>
        <w:br/>
        <w:t xml:space="preserve">Dziekana Szkoły Doktorskiej w Szkole Głównej Handlowej w Warszawie </w:t>
      </w:r>
    </w:p>
    <w:p w14:paraId="3E79539B" w14:textId="437EA8EC" w:rsidR="00E54A73" w:rsidRPr="00CF016C" w:rsidRDefault="00E54A73" w:rsidP="00CF016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F016C">
        <w:rPr>
          <w:rFonts w:ascii="Arial" w:hAnsi="Arial" w:cs="Arial"/>
          <w:sz w:val="24"/>
          <w:szCs w:val="24"/>
        </w:rPr>
        <w:br/>
        <w:t>z dni</w:t>
      </w:r>
      <w:r w:rsidR="00960FA2" w:rsidRPr="00CF016C">
        <w:rPr>
          <w:rFonts w:ascii="Arial" w:hAnsi="Arial" w:cs="Arial"/>
          <w:sz w:val="24"/>
          <w:szCs w:val="24"/>
        </w:rPr>
        <w:t>a 3 października</w:t>
      </w:r>
      <w:r w:rsidR="00DC2401" w:rsidRPr="00CF016C">
        <w:rPr>
          <w:rFonts w:ascii="Arial" w:hAnsi="Arial" w:cs="Arial"/>
          <w:sz w:val="24"/>
          <w:szCs w:val="24"/>
        </w:rPr>
        <w:t xml:space="preserve"> </w:t>
      </w:r>
      <w:r w:rsidR="00F76573" w:rsidRPr="00CF016C">
        <w:rPr>
          <w:rFonts w:ascii="Arial" w:hAnsi="Arial" w:cs="Arial"/>
          <w:sz w:val="24"/>
          <w:szCs w:val="24"/>
        </w:rPr>
        <w:t>202</w:t>
      </w:r>
      <w:r w:rsidR="00DC2401" w:rsidRPr="00CF016C">
        <w:rPr>
          <w:rFonts w:ascii="Arial" w:hAnsi="Arial" w:cs="Arial"/>
          <w:sz w:val="24"/>
          <w:szCs w:val="24"/>
        </w:rPr>
        <w:t>2</w:t>
      </w:r>
      <w:r w:rsidRPr="00CF016C">
        <w:rPr>
          <w:rFonts w:ascii="Arial" w:hAnsi="Arial" w:cs="Arial"/>
          <w:sz w:val="24"/>
          <w:szCs w:val="24"/>
        </w:rPr>
        <w:t xml:space="preserve"> roku </w:t>
      </w:r>
      <w:r w:rsidR="00987469" w:rsidRPr="00CF016C">
        <w:rPr>
          <w:rFonts w:ascii="Arial" w:hAnsi="Arial" w:cs="Arial"/>
          <w:sz w:val="24"/>
          <w:szCs w:val="24"/>
        </w:rPr>
        <w:br/>
      </w:r>
      <w:r w:rsidRPr="00CF016C">
        <w:rPr>
          <w:rFonts w:ascii="Arial" w:hAnsi="Arial" w:cs="Arial"/>
          <w:sz w:val="24"/>
          <w:szCs w:val="24"/>
        </w:rPr>
        <w:br/>
        <w:t xml:space="preserve">w sprawie </w:t>
      </w:r>
      <w:r w:rsidR="004D5716" w:rsidRPr="00CF016C">
        <w:rPr>
          <w:rFonts w:ascii="Arial" w:hAnsi="Arial" w:cs="Arial"/>
          <w:sz w:val="24"/>
          <w:szCs w:val="24"/>
        </w:rPr>
        <w:t xml:space="preserve">przeprowadzenia </w:t>
      </w:r>
      <w:r w:rsidR="000074E1" w:rsidRPr="00CF016C">
        <w:rPr>
          <w:rFonts w:ascii="Arial" w:hAnsi="Arial" w:cs="Arial"/>
          <w:sz w:val="24"/>
          <w:szCs w:val="24"/>
        </w:rPr>
        <w:t xml:space="preserve">egzaminów kierunkowych </w:t>
      </w:r>
      <w:r w:rsidR="004D5716" w:rsidRPr="00CF016C">
        <w:rPr>
          <w:rFonts w:ascii="Arial" w:hAnsi="Arial" w:cs="Arial"/>
          <w:sz w:val="24"/>
          <w:szCs w:val="24"/>
        </w:rPr>
        <w:br/>
      </w:r>
      <w:r w:rsidR="00DC2401" w:rsidRPr="00CF016C">
        <w:rPr>
          <w:rFonts w:ascii="Arial" w:hAnsi="Arial" w:cs="Arial"/>
          <w:sz w:val="24"/>
          <w:szCs w:val="24"/>
        </w:rPr>
        <w:t>od</w:t>
      </w:r>
      <w:r w:rsidRPr="00CF016C">
        <w:rPr>
          <w:rFonts w:ascii="Arial" w:hAnsi="Arial" w:cs="Arial"/>
          <w:sz w:val="24"/>
          <w:szCs w:val="24"/>
        </w:rPr>
        <w:t xml:space="preserve"> roku akademicki</w:t>
      </w:r>
      <w:r w:rsidR="00960FA2" w:rsidRPr="00CF016C">
        <w:rPr>
          <w:rFonts w:ascii="Arial" w:hAnsi="Arial" w:cs="Arial"/>
          <w:sz w:val="24"/>
          <w:szCs w:val="24"/>
        </w:rPr>
        <w:t>ego</w:t>
      </w:r>
      <w:r w:rsidRPr="00CF016C">
        <w:rPr>
          <w:rFonts w:ascii="Arial" w:hAnsi="Arial" w:cs="Arial"/>
          <w:sz w:val="24"/>
          <w:szCs w:val="24"/>
        </w:rPr>
        <w:t xml:space="preserve"> </w:t>
      </w:r>
      <w:r w:rsidR="000271B0" w:rsidRPr="00CF016C">
        <w:rPr>
          <w:rFonts w:ascii="Arial" w:hAnsi="Arial" w:cs="Arial"/>
          <w:sz w:val="24"/>
          <w:szCs w:val="24"/>
        </w:rPr>
        <w:t>202</w:t>
      </w:r>
      <w:r w:rsidR="00DC2401" w:rsidRPr="00CF016C">
        <w:rPr>
          <w:rFonts w:ascii="Arial" w:hAnsi="Arial" w:cs="Arial"/>
          <w:sz w:val="24"/>
          <w:szCs w:val="24"/>
        </w:rPr>
        <w:t>2</w:t>
      </w:r>
      <w:r w:rsidRPr="00CF016C">
        <w:rPr>
          <w:rFonts w:ascii="Arial" w:hAnsi="Arial" w:cs="Arial"/>
          <w:sz w:val="24"/>
          <w:szCs w:val="24"/>
        </w:rPr>
        <w:t>/</w:t>
      </w:r>
      <w:r w:rsidR="000271B0" w:rsidRPr="00CF016C">
        <w:rPr>
          <w:rFonts w:ascii="Arial" w:hAnsi="Arial" w:cs="Arial"/>
          <w:sz w:val="24"/>
          <w:szCs w:val="24"/>
        </w:rPr>
        <w:t>202</w:t>
      </w:r>
      <w:r w:rsidR="00DC2401" w:rsidRPr="00CF016C">
        <w:rPr>
          <w:rFonts w:ascii="Arial" w:hAnsi="Arial" w:cs="Arial"/>
          <w:sz w:val="24"/>
          <w:szCs w:val="24"/>
        </w:rPr>
        <w:t>3</w:t>
      </w:r>
    </w:p>
    <w:p w14:paraId="4F89378D" w14:textId="77777777" w:rsidR="00E54A73" w:rsidRPr="00C8271A" w:rsidRDefault="00E54A73" w:rsidP="00CF016C">
      <w:pPr>
        <w:spacing w:after="0"/>
        <w:rPr>
          <w:rFonts w:ascii="Arial" w:hAnsi="Arial" w:cs="Arial"/>
          <w:sz w:val="24"/>
          <w:szCs w:val="24"/>
        </w:rPr>
      </w:pPr>
    </w:p>
    <w:p w14:paraId="5E24F8AF" w14:textId="4C1497D4" w:rsidR="00E54A73" w:rsidRDefault="00E54A73" w:rsidP="00CF01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271A">
        <w:rPr>
          <w:rFonts w:ascii="Arial" w:hAnsi="Arial" w:cs="Arial"/>
          <w:sz w:val="24"/>
          <w:szCs w:val="24"/>
        </w:rPr>
        <w:t xml:space="preserve">Na podstawie § 3 Regulaminu Szkoły Doktorskiej w Szkole Głównej Handlowej </w:t>
      </w:r>
      <w:r w:rsidR="00987469" w:rsidRPr="00C8271A">
        <w:rPr>
          <w:rFonts w:ascii="Arial" w:hAnsi="Arial" w:cs="Arial"/>
          <w:sz w:val="24"/>
          <w:szCs w:val="24"/>
        </w:rPr>
        <w:br/>
      </w:r>
      <w:r w:rsidRPr="00C8271A">
        <w:rPr>
          <w:rFonts w:ascii="Arial" w:hAnsi="Arial" w:cs="Arial"/>
          <w:sz w:val="24"/>
          <w:szCs w:val="24"/>
        </w:rPr>
        <w:t>w Warszawie stanowiącego załącznik do Uchwały nr 465 Senatu Szkoły Głównej Handlowej w Warszawie z dnia 17 kwietnia 2019 roku</w:t>
      </w:r>
      <w:r w:rsidR="00960FA2">
        <w:rPr>
          <w:rFonts w:ascii="Arial" w:hAnsi="Arial" w:cs="Arial"/>
          <w:sz w:val="24"/>
          <w:szCs w:val="24"/>
        </w:rPr>
        <w:t xml:space="preserve"> z późniejszymi zmianami</w:t>
      </w:r>
      <w:r w:rsidRPr="00C8271A">
        <w:rPr>
          <w:rFonts w:ascii="Arial" w:hAnsi="Arial" w:cs="Arial"/>
          <w:sz w:val="24"/>
          <w:szCs w:val="24"/>
        </w:rPr>
        <w:t xml:space="preserve"> ustalam co następuje:</w:t>
      </w:r>
    </w:p>
    <w:p w14:paraId="19A47D5C" w14:textId="77777777" w:rsidR="00F75159" w:rsidRPr="00C8271A" w:rsidRDefault="00F75159" w:rsidP="00CF016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84C8F93" w14:textId="4A53EABB" w:rsidR="00763636" w:rsidRPr="00C8271A" w:rsidRDefault="00B57483" w:rsidP="00CF016C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 Do dnia 30 </w:t>
      </w:r>
      <w:r w:rsidR="00F60C8C">
        <w:rPr>
          <w:rFonts w:ascii="Arial" w:hAnsi="Arial" w:cs="Arial"/>
        </w:rPr>
        <w:t>października</w:t>
      </w:r>
      <w:r w:rsidR="000271B0" w:rsidRPr="00C8271A">
        <w:rPr>
          <w:rFonts w:ascii="Arial" w:hAnsi="Arial" w:cs="Arial"/>
        </w:rPr>
        <w:t xml:space="preserve"> </w:t>
      </w:r>
      <w:r w:rsidR="00F76573">
        <w:rPr>
          <w:rFonts w:ascii="Arial" w:hAnsi="Arial" w:cs="Arial"/>
        </w:rPr>
        <w:t>202</w:t>
      </w:r>
      <w:r w:rsidR="00073F1D">
        <w:rPr>
          <w:rFonts w:ascii="Arial" w:hAnsi="Arial" w:cs="Arial"/>
        </w:rPr>
        <w:t>2</w:t>
      </w:r>
      <w:r w:rsidR="00F76573">
        <w:rPr>
          <w:rFonts w:ascii="Arial" w:hAnsi="Arial" w:cs="Arial"/>
        </w:rPr>
        <w:t xml:space="preserve"> roku </w:t>
      </w:r>
      <w:r w:rsidR="00702317" w:rsidRPr="00C8271A">
        <w:rPr>
          <w:rFonts w:ascii="Arial" w:hAnsi="Arial" w:cs="Arial"/>
        </w:rPr>
        <w:t xml:space="preserve">dziekan Szkoły Doktorskiej powołuje Komisje Egzaminacyjne do przeprowadzenia </w:t>
      </w:r>
      <w:r w:rsidR="0011406A" w:rsidRPr="00C8271A">
        <w:rPr>
          <w:rFonts w:ascii="Arial" w:hAnsi="Arial" w:cs="Arial"/>
        </w:rPr>
        <w:t>egzaminów kierunkowych</w:t>
      </w:r>
      <w:r w:rsidR="00CC479F">
        <w:rPr>
          <w:rFonts w:ascii="Arial" w:hAnsi="Arial" w:cs="Arial"/>
        </w:rPr>
        <w:t xml:space="preserve"> na okres do 30 września 2024 roku</w:t>
      </w:r>
      <w:r w:rsidR="0011406A" w:rsidRPr="00C8271A">
        <w:rPr>
          <w:rFonts w:ascii="Arial" w:hAnsi="Arial" w:cs="Arial"/>
        </w:rPr>
        <w:t>.</w:t>
      </w:r>
    </w:p>
    <w:p w14:paraId="7D875248" w14:textId="07ABF7C5" w:rsidR="0008555E" w:rsidRPr="00C8271A" w:rsidRDefault="002D1E31" w:rsidP="00CF016C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Do egzaminu kierunkowego mogą przystąpić doktoranci, którzy w </w:t>
      </w:r>
      <w:r w:rsidR="00391BC8">
        <w:rPr>
          <w:rFonts w:ascii="Arial" w:hAnsi="Arial" w:cs="Arial"/>
        </w:rPr>
        <w:t xml:space="preserve">danym </w:t>
      </w:r>
      <w:r w:rsidRPr="00C8271A">
        <w:rPr>
          <w:rFonts w:ascii="Arial" w:hAnsi="Arial" w:cs="Arial"/>
        </w:rPr>
        <w:t xml:space="preserve">roku akademickim </w:t>
      </w:r>
      <w:r w:rsidR="000271B0" w:rsidRPr="00C8271A">
        <w:rPr>
          <w:rFonts w:ascii="Arial" w:hAnsi="Arial" w:cs="Arial"/>
        </w:rPr>
        <w:t xml:space="preserve">są </w:t>
      </w:r>
      <w:r w:rsidRPr="00C8271A">
        <w:rPr>
          <w:rFonts w:ascii="Arial" w:hAnsi="Arial" w:cs="Arial"/>
        </w:rPr>
        <w:t xml:space="preserve">na </w:t>
      </w:r>
      <w:r w:rsidR="000271B0" w:rsidRPr="00C8271A">
        <w:rPr>
          <w:rFonts w:ascii="Arial" w:hAnsi="Arial" w:cs="Arial"/>
        </w:rPr>
        <w:t>II roku</w:t>
      </w:r>
      <w:r w:rsidR="00C36C36" w:rsidRPr="00C8271A">
        <w:rPr>
          <w:rFonts w:ascii="Arial" w:hAnsi="Arial" w:cs="Arial"/>
        </w:rPr>
        <w:t xml:space="preserve"> kształcenia</w:t>
      </w:r>
      <w:r w:rsidR="000271B0" w:rsidRPr="00C8271A">
        <w:rPr>
          <w:rFonts w:ascii="Arial" w:hAnsi="Arial" w:cs="Arial"/>
        </w:rPr>
        <w:t>.</w:t>
      </w:r>
    </w:p>
    <w:p w14:paraId="23B97DB7" w14:textId="6FB63CE9" w:rsidR="002D1E31" w:rsidRPr="00C8271A" w:rsidRDefault="0008555E" w:rsidP="00CF016C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Planowane terminy egzaminów kierunkowych </w:t>
      </w:r>
      <w:r w:rsidR="00253346">
        <w:rPr>
          <w:rFonts w:ascii="Arial" w:hAnsi="Arial" w:cs="Arial"/>
        </w:rPr>
        <w:t>są</w:t>
      </w:r>
      <w:r w:rsidRPr="00C8271A">
        <w:rPr>
          <w:rFonts w:ascii="Arial" w:hAnsi="Arial" w:cs="Arial"/>
        </w:rPr>
        <w:t xml:space="preserve"> podane do dnia </w:t>
      </w:r>
      <w:r w:rsidR="000271B0" w:rsidRPr="00C8271A">
        <w:rPr>
          <w:rFonts w:ascii="Arial" w:hAnsi="Arial" w:cs="Arial"/>
        </w:rPr>
        <w:t xml:space="preserve">15 </w:t>
      </w:r>
      <w:r w:rsidR="003C2113">
        <w:rPr>
          <w:rFonts w:ascii="Arial" w:hAnsi="Arial" w:cs="Arial"/>
        </w:rPr>
        <w:t>stycznia</w:t>
      </w:r>
      <w:r w:rsidR="00CD5579">
        <w:rPr>
          <w:rFonts w:ascii="Arial" w:hAnsi="Arial" w:cs="Arial"/>
        </w:rPr>
        <w:t>.</w:t>
      </w:r>
      <w:r w:rsidR="00443E91">
        <w:rPr>
          <w:rFonts w:ascii="Arial" w:hAnsi="Arial" w:cs="Arial"/>
        </w:rPr>
        <w:t xml:space="preserve"> Terminy egzaminów poprawkowych </w:t>
      </w:r>
      <w:r w:rsidR="00291933">
        <w:rPr>
          <w:rFonts w:ascii="Arial" w:hAnsi="Arial" w:cs="Arial"/>
        </w:rPr>
        <w:t>są podane do 30 czerwca.</w:t>
      </w:r>
    </w:p>
    <w:p w14:paraId="37F8CA18" w14:textId="2BD417F7" w:rsidR="00945553" w:rsidRPr="002E322D" w:rsidRDefault="00074E74" w:rsidP="00CF016C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Doktoranci </w:t>
      </w:r>
      <w:r w:rsidR="00DE5668" w:rsidRPr="00C8271A">
        <w:rPr>
          <w:rFonts w:ascii="Arial" w:hAnsi="Arial" w:cs="Arial"/>
        </w:rPr>
        <w:t>zapisują się na dany</w:t>
      </w:r>
      <w:r w:rsidR="0008080D" w:rsidRPr="00C8271A">
        <w:rPr>
          <w:rFonts w:ascii="Arial" w:hAnsi="Arial" w:cs="Arial"/>
        </w:rPr>
        <w:t xml:space="preserve"> termin egzaminu kierunkowego najpóźniej dwa tygodnie </w:t>
      </w:r>
      <w:r w:rsidR="00F33DCE" w:rsidRPr="00C8271A">
        <w:rPr>
          <w:rFonts w:ascii="Arial" w:hAnsi="Arial" w:cs="Arial"/>
        </w:rPr>
        <w:t>przed tym terminem.</w:t>
      </w:r>
      <w:r w:rsidR="00DE5668" w:rsidRPr="00C8271A">
        <w:rPr>
          <w:rFonts w:ascii="Arial" w:hAnsi="Arial" w:cs="Arial"/>
        </w:rPr>
        <w:t xml:space="preserve"> </w:t>
      </w:r>
      <w:r w:rsidR="00944896" w:rsidRPr="00C8271A">
        <w:rPr>
          <w:rFonts w:ascii="Arial" w:hAnsi="Arial" w:cs="Arial"/>
        </w:rPr>
        <w:t xml:space="preserve">Jeśli po zapisaniu się doktorant nie przystąpi do egzaminu kierunkowego bez uzasadnionego powodu skutkuje to uzyskaniem oceny </w:t>
      </w:r>
      <w:r w:rsidR="00340CC2">
        <w:rPr>
          <w:rFonts w:ascii="Arial" w:hAnsi="Arial" w:cs="Arial"/>
        </w:rPr>
        <w:t>niezadawalającej</w:t>
      </w:r>
      <w:r w:rsidR="0067576D" w:rsidRPr="00C8271A">
        <w:rPr>
          <w:rFonts w:ascii="Arial" w:hAnsi="Arial" w:cs="Arial"/>
        </w:rPr>
        <w:t>.</w:t>
      </w:r>
    </w:p>
    <w:p w14:paraId="4BBB3CDF" w14:textId="06EDE17B" w:rsidR="00C7262B" w:rsidRDefault="00DB18C1" w:rsidP="00CF016C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</w:rPr>
      </w:pPr>
      <w:r w:rsidRPr="00C8271A">
        <w:rPr>
          <w:rFonts w:ascii="Arial" w:hAnsi="Arial" w:cs="Arial"/>
        </w:rPr>
        <w:t>Ze względu na wagę egzaminów kierunkowych rekomenduje się, aby w miarę możliwości składały się one z dwóch części: pisemnej oraz ustnej. Przy czym część pisemna powinna trwać co najmniej 120 minut i zawierać sprawdzenie umiejętności rozwiązywania problemów z danego zakresu egzaminu kierunkowego</w:t>
      </w:r>
      <w:r w:rsidR="003E00D3">
        <w:rPr>
          <w:rFonts w:ascii="Arial" w:hAnsi="Arial" w:cs="Arial"/>
        </w:rPr>
        <w:t>, określonego w Karcie egzaminacyjnej</w:t>
      </w:r>
      <w:r w:rsidRPr="00C8271A">
        <w:rPr>
          <w:rFonts w:ascii="Arial" w:hAnsi="Arial" w:cs="Arial"/>
        </w:rPr>
        <w:t xml:space="preserve">. Część ustna powinna zawierać </w:t>
      </w:r>
      <w:r w:rsidR="00DF4BC8" w:rsidRPr="00C8271A">
        <w:rPr>
          <w:rFonts w:ascii="Arial" w:hAnsi="Arial" w:cs="Arial"/>
        </w:rPr>
        <w:t xml:space="preserve">co najmniej </w:t>
      </w:r>
      <w:r w:rsidRPr="00C8271A">
        <w:rPr>
          <w:rFonts w:ascii="Arial" w:hAnsi="Arial" w:cs="Arial"/>
        </w:rPr>
        <w:t>dwa pytania</w:t>
      </w:r>
      <w:r w:rsidR="003649A1">
        <w:rPr>
          <w:rFonts w:ascii="Arial" w:hAnsi="Arial" w:cs="Arial"/>
        </w:rPr>
        <w:t xml:space="preserve"> również odnoszące się do </w:t>
      </w:r>
      <w:r w:rsidR="00221EF9">
        <w:rPr>
          <w:rFonts w:ascii="Arial" w:hAnsi="Arial" w:cs="Arial"/>
        </w:rPr>
        <w:t>zagadnień z Karty egzaminacyjnej</w:t>
      </w:r>
      <w:r w:rsidR="00247B58" w:rsidRPr="00C8271A">
        <w:rPr>
          <w:rFonts w:ascii="Arial" w:hAnsi="Arial" w:cs="Arial"/>
        </w:rPr>
        <w:t>.</w:t>
      </w:r>
    </w:p>
    <w:p w14:paraId="6EEFED52" w14:textId="6143924C" w:rsidR="00600009" w:rsidRPr="00C8271A" w:rsidRDefault="00F04CA8" w:rsidP="00CF016C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>Formę egzaminu i czas jego trwania należy wpisać w Kartę egzaminacyjną</w:t>
      </w:r>
      <w:r w:rsidR="00181471">
        <w:rPr>
          <w:rFonts w:ascii="Arial" w:hAnsi="Arial" w:cs="Arial"/>
        </w:rPr>
        <w:t xml:space="preserve"> w pozycji „Forma egzaminu”.</w:t>
      </w:r>
    </w:p>
    <w:p w14:paraId="626C287E" w14:textId="2E4E049D" w:rsidR="008875E1" w:rsidRDefault="00072AC5" w:rsidP="00CF016C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 Z egzaminu kierunkowego można łącznie uzyskać 100 punktów. </w:t>
      </w:r>
      <w:r w:rsidR="006D1AE1">
        <w:rPr>
          <w:rFonts w:ascii="Arial" w:hAnsi="Arial" w:cs="Arial"/>
        </w:rPr>
        <w:t xml:space="preserve">Jeśli doktorant uzyska </w:t>
      </w:r>
      <w:r w:rsidR="00B53583">
        <w:rPr>
          <w:rFonts w:ascii="Arial" w:hAnsi="Arial" w:cs="Arial"/>
        </w:rPr>
        <w:t xml:space="preserve">mniej niż 60 punktów otrzymuje </w:t>
      </w:r>
      <w:r w:rsidR="00344CC1">
        <w:rPr>
          <w:rFonts w:ascii="Arial" w:hAnsi="Arial" w:cs="Arial"/>
        </w:rPr>
        <w:t xml:space="preserve">ocenę </w:t>
      </w:r>
      <w:r w:rsidR="00FA56C8">
        <w:rPr>
          <w:rFonts w:ascii="Arial" w:hAnsi="Arial" w:cs="Arial"/>
        </w:rPr>
        <w:t>„wynik niezadawalający”</w:t>
      </w:r>
      <w:r w:rsidR="003A66E6">
        <w:rPr>
          <w:rFonts w:ascii="Arial" w:hAnsi="Arial" w:cs="Arial"/>
        </w:rPr>
        <w:t>, który oznacza</w:t>
      </w:r>
      <w:r w:rsidR="00FF17BD">
        <w:rPr>
          <w:rFonts w:ascii="Arial" w:hAnsi="Arial" w:cs="Arial"/>
        </w:rPr>
        <w:t>, że egzamin jest niezdany</w:t>
      </w:r>
      <w:r w:rsidR="00FA56C8">
        <w:rPr>
          <w:rFonts w:ascii="Arial" w:hAnsi="Arial" w:cs="Arial"/>
        </w:rPr>
        <w:t>.</w:t>
      </w:r>
      <w:r w:rsidR="00433863">
        <w:rPr>
          <w:rFonts w:ascii="Arial" w:hAnsi="Arial" w:cs="Arial"/>
        </w:rPr>
        <w:t xml:space="preserve"> </w:t>
      </w:r>
      <w:r w:rsidR="00C0550F">
        <w:rPr>
          <w:rFonts w:ascii="Arial" w:hAnsi="Arial" w:cs="Arial"/>
        </w:rPr>
        <w:t>Jeśli otrzymał co</w:t>
      </w:r>
      <w:r w:rsidR="00F77FCD">
        <w:rPr>
          <w:rFonts w:ascii="Arial" w:hAnsi="Arial" w:cs="Arial"/>
        </w:rPr>
        <w:t xml:space="preserve"> </w:t>
      </w:r>
      <w:r w:rsidR="00F77FCD">
        <w:rPr>
          <w:rFonts w:ascii="Arial" w:hAnsi="Arial" w:cs="Arial"/>
        </w:rPr>
        <w:lastRenderedPageBreak/>
        <w:t>najmniej</w:t>
      </w:r>
      <w:r w:rsidR="00C0550F">
        <w:rPr>
          <w:rFonts w:ascii="Arial" w:hAnsi="Arial" w:cs="Arial"/>
        </w:rPr>
        <w:t xml:space="preserve"> </w:t>
      </w:r>
      <w:r w:rsidR="00F77FCD">
        <w:rPr>
          <w:rFonts w:ascii="Arial" w:hAnsi="Arial" w:cs="Arial"/>
        </w:rPr>
        <w:t xml:space="preserve">60 punktów, otrzymuje  </w:t>
      </w:r>
      <w:r w:rsidR="00344CC1">
        <w:rPr>
          <w:rFonts w:ascii="Arial" w:hAnsi="Arial" w:cs="Arial"/>
        </w:rPr>
        <w:t xml:space="preserve">ocenę „wynik zadawalający”, </w:t>
      </w:r>
      <w:r w:rsidR="004A1CE5">
        <w:rPr>
          <w:rFonts w:ascii="Arial" w:hAnsi="Arial" w:cs="Arial"/>
        </w:rPr>
        <w:t>który oznacza, że egzamin jest zdany.</w:t>
      </w:r>
    </w:p>
    <w:p w14:paraId="12F75E4E" w14:textId="77777777" w:rsidR="002B1E20" w:rsidRPr="00C8271A" w:rsidRDefault="002B1E20" w:rsidP="00CF016C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</w:rPr>
      </w:pPr>
      <w:r w:rsidRPr="00C8271A">
        <w:rPr>
          <w:rFonts w:ascii="Arial" w:hAnsi="Arial" w:cs="Arial"/>
        </w:rPr>
        <w:t>Formularze egzaminacyjne z części pisemnej wraz z odpowiedziami składane są w biurze S</w:t>
      </w:r>
      <w:r>
        <w:rPr>
          <w:rFonts w:ascii="Arial" w:hAnsi="Arial" w:cs="Arial"/>
        </w:rPr>
        <w:t>zkoły Doktorskiej</w:t>
      </w:r>
      <w:r w:rsidRPr="00C8271A">
        <w:rPr>
          <w:rFonts w:ascii="Arial" w:hAnsi="Arial" w:cs="Arial"/>
        </w:rPr>
        <w:t xml:space="preserve"> wraz z protokołem z egzaminu kierunkowego. </w:t>
      </w:r>
    </w:p>
    <w:p w14:paraId="0213BA5B" w14:textId="7B33B2FC" w:rsidR="009A522C" w:rsidRDefault="002B1E20" w:rsidP="00CF016C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</w:rPr>
      </w:pPr>
      <w:r w:rsidRPr="0014533E">
        <w:rPr>
          <w:rFonts w:ascii="Arial" w:hAnsi="Arial" w:cs="Arial"/>
        </w:rPr>
        <w:t xml:space="preserve">Z egzaminu kierunkowego sporządza się protokół według załącznika. Protokół    jest składany w biurze </w:t>
      </w:r>
      <w:r>
        <w:rPr>
          <w:rFonts w:ascii="Arial" w:hAnsi="Arial" w:cs="Arial"/>
        </w:rPr>
        <w:t xml:space="preserve">Szkoły Doktorskiej </w:t>
      </w:r>
      <w:r w:rsidRPr="0014533E">
        <w:rPr>
          <w:rFonts w:ascii="Arial" w:hAnsi="Arial" w:cs="Arial"/>
        </w:rPr>
        <w:t>w ciągu trzech dni po zakończenie egzaminu.</w:t>
      </w:r>
    </w:p>
    <w:p w14:paraId="642022F8" w14:textId="6C5A902A" w:rsidR="00420597" w:rsidRPr="002B2111" w:rsidRDefault="008F300D" w:rsidP="00CF016C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</w:rPr>
      </w:pPr>
      <w:r w:rsidRPr="002B2111">
        <w:rPr>
          <w:rFonts w:ascii="Arial" w:hAnsi="Arial" w:cs="Arial"/>
        </w:rPr>
        <w:t xml:space="preserve"> Instrukcja wchodzi w życie z dniem podpisania.</w:t>
      </w:r>
      <w:bookmarkEnd w:id="0"/>
    </w:p>
    <w:p w14:paraId="48B66F3D" w14:textId="77777777" w:rsidR="00420597" w:rsidRPr="00420597" w:rsidRDefault="00420597" w:rsidP="00CF016C">
      <w:pPr>
        <w:spacing w:line="360" w:lineRule="auto"/>
        <w:rPr>
          <w:rFonts w:ascii="Arial" w:hAnsi="Arial" w:cs="Arial"/>
        </w:rPr>
      </w:pPr>
    </w:p>
    <w:p w14:paraId="16FAC00B" w14:textId="77777777" w:rsidR="00420597" w:rsidRPr="00CF016C" w:rsidRDefault="00420597" w:rsidP="00CF016C">
      <w:pPr>
        <w:spacing w:after="0"/>
        <w:ind w:left="4536"/>
        <w:rPr>
          <w:rFonts w:ascii="Arial" w:hAnsi="Arial" w:cs="Arial"/>
          <w:bCs/>
        </w:rPr>
      </w:pPr>
      <w:r w:rsidRPr="00CF016C">
        <w:rPr>
          <w:rFonts w:ascii="Arial" w:hAnsi="Arial" w:cs="Arial"/>
          <w:bCs/>
        </w:rPr>
        <w:t>DZIEKAN</w:t>
      </w:r>
    </w:p>
    <w:p w14:paraId="2CA633C6" w14:textId="77777777" w:rsidR="00420597" w:rsidRPr="00CF016C" w:rsidRDefault="00420597" w:rsidP="00CF016C">
      <w:pPr>
        <w:spacing w:after="0"/>
        <w:ind w:left="4536"/>
        <w:rPr>
          <w:rFonts w:ascii="Arial" w:hAnsi="Arial" w:cs="Arial"/>
          <w:bCs/>
        </w:rPr>
      </w:pPr>
      <w:r w:rsidRPr="00CF016C">
        <w:rPr>
          <w:rFonts w:ascii="Arial" w:hAnsi="Arial" w:cs="Arial"/>
          <w:bCs/>
        </w:rPr>
        <w:t>Szkoła Doktorska</w:t>
      </w:r>
    </w:p>
    <w:p w14:paraId="7F1CFB3B" w14:textId="77777777" w:rsidR="00420597" w:rsidRPr="00CF016C" w:rsidRDefault="00420597" w:rsidP="00CF016C">
      <w:pPr>
        <w:spacing w:before="80" w:after="0"/>
        <w:ind w:left="4536"/>
        <w:rPr>
          <w:rFonts w:ascii="Arial" w:hAnsi="Arial" w:cs="Arial"/>
          <w:bCs/>
        </w:rPr>
      </w:pPr>
      <w:r w:rsidRPr="00CF016C">
        <w:rPr>
          <w:rFonts w:ascii="Arial" w:hAnsi="Arial" w:cs="Arial"/>
          <w:bCs/>
        </w:rPr>
        <w:t>prof. dr hab. Wojciech Pacho</w:t>
      </w:r>
    </w:p>
    <w:p w14:paraId="15DF1181" w14:textId="77777777" w:rsidR="00420597" w:rsidRPr="00CF016C" w:rsidRDefault="00420597" w:rsidP="00CF016C">
      <w:pPr>
        <w:spacing w:before="80" w:after="0"/>
        <w:ind w:left="4536"/>
        <w:rPr>
          <w:rFonts w:ascii="Arial" w:hAnsi="Arial" w:cs="Arial"/>
          <w:bCs/>
        </w:rPr>
      </w:pPr>
      <w:r w:rsidRPr="00CF016C">
        <w:rPr>
          <w:rFonts w:ascii="Arial" w:hAnsi="Arial" w:cs="Arial"/>
          <w:bCs/>
        </w:rPr>
        <w:t xml:space="preserve">/podpisano kwalifikowanym </w:t>
      </w:r>
    </w:p>
    <w:p w14:paraId="29AF3A23" w14:textId="77777777" w:rsidR="00420597" w:rsidRPr="00CF016C" w:rsidRDefault="00420597" w:rsidP="00CF016C">
      <w:pPr>
        <w:spacing w:after="0" w:line="360" w:lineRule="auto"/>
        <w:ind w:left="4536"/>
        <w:rPr>
          <w:rFonts w:ascii="Arial" w:hAnsi="Arial" w:cs="Arial"/>
          <w:bCs/>
        </w:rPr>
      </w:pPr>
      <w:r w:rsidRPr="00CF016C">
        <w:rPr>
          <w:rFonts w:ascii="Arial" w:hAnsi="Arial" w:cs="Arial"/>
          <w:bCs/>
        </w:rPr>
        <w:t>podpisem elektronicznym/</w:t>
      </w:r>
    </w:p>
    <w:p w14:paraId="2C5EBA52" w14:textId="77777777" w:rsidR="00871D56" w:rsidRPr="0014533E" w:rsidRDefault="00871D56" w:rsidP="00A96B79">
      <w:pPr>
        <w:pStyle w:val="Akapitzlist"/>
        <w:spacing w:line="360" w:lineRule="auto"/>
        <w:jc w:val="both"/>
        <w:rPr>
          <w:rFonts w:ascii="Arial" w:hAnsi="Arial" w:cs="Arial"/>
        </w:rPr>
      </w:pPr>
    </w:p>
    <w:sectPr w:rsidR="00871D56" w:rsidRPr="0014533E" w:rsidSect="00906B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16BBA" w14:textId="77777777" w:rsidR="00E90DB1" w:rsidRDefault="00E90DB1" w:rsidP="003D7F4A">
      <w:pPr>
        <w:spacing w:after="0" w:line="240" w:lineRule="auto"/>
      </w:pPr>
      <w:r>
        <w:separator/>
      </w:r>
    </w:p>
  </w:endnote>
  <w:endnote w:type="continuationSeparator" w:id="0">
    <w:p w14:paraId="3B6317B8" w14:textId="77777777" w:rsidR="00E90DB1" w:rsidRDefault="00E90DB1" w:rsidP="003D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CF5A" w14:textId="77777777" w:rsidR="002E322D" w:rsidRDefault="002E32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6735583"/>
      <w:docPartObj>
        <w:docPartGallery w:val="Page Numbers (Bottom of Page)"/>
        <w:docPartUnique/>
      </w:docPartObj>
    </w:sdtPr>
    <w:sdtContent>
      <w:p w14:paraId="7D52790E" w14:textId="3D09C283" w:rsidR="003D7F4A" w:rsidRDefault="003D7F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3D8A4F" w14:textId="77777777" w:rsidR="003D7F4A" w:rsidRDefault="003D7F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EE72" w14:textId="77777777" w:rsidR="002E322D" w:rsidRDefault="002E32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7CB17" w14:textId="77777777" w:rsidR="00E90DB1" w:rsidRDefault="00E90DB1" w:rsidP="003D7F4A">
      <w:pPr>
        <w:spacing w:after="0" w:line="240" w:lineRule="auto"/>
      </w:pPr>
      <w:r>
        <w:separator/>
      </w:r>
    </w:p>
  </w:footnote>
  <w:footnote w:type="continuationSeparator" w:id="0">
    <w:p w14:paraId="40242EF8" w14:textId="77777777" w:rsidR="00E90DB1" w:rsidRDefault="00E90DB1" w:rsidP="003D7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7A97" w14:textId="77777777" w:rsidR="002E322D" w:rsidRDefault="002E32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9625" w14:textId="77777777" w:rsidR="002E322D" w:rsidRDefault="002E32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04D1D" w14:textId="77777777" w:rsidR="002E322D" w:rsidRDefault="002E32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DFB"/>
    <w:multiLevelType w:val="hybridMultilevel"/>
    <w:tmpl w:val="715AFAD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8166F"/>
    <w:multiLevelType w:val="hybridMultilevel"/>
    <w:tmpl w:val="6E42412A"/>
    <w:lvl w:ilvl="0" w:tplc="87AEA3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071655"/>
    <w:multiLevelType w:val="hybridMultilevel"/>
    <w:tmpl w:val="AAD64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41DFE"/>
    <w:multiLevelType w:val="hybridMultilevel"/>
    <w:tmpl w:val="F3CA5546"/>
    <w:lvl w:ilvl="0" w:tplc="FFFFFFFF">
      <w:start w:val="1"/>
      <w:numFmt w:val="ideographDigital"/>
      <w:lvlText w:val=""/>
      <w:lvlJc w:val="left"/>
      <w:pPr>
        <w:ind w:left="4248" w:firstLine="0"/>
      </w:pPr>
    </w:lvl>
    <w:lvl w:ilvl="1" w:tplc="04150001">
      <w:start w:val="1"/>
      <w:numFmt w:val="bullet"/>
      <w:lvlText w:val=""/>
      <w:lvlJc w:val="left"/>
      <w:pPr>
        <w:ind w:left="4248" w:firstLine="0"/>
      </w:pPr>
      <w:rPr>
        <w:rFonts w:ascii="Symbol" w:hAnsi="Symbol" w:hint="default"/>
      </w:rPr>
    </w:lvl>
    <w:lvl w:ilvl="2" w:tplc="FFFFFFFF">
      <w:numFmt w:val="decimal"/>
      <w:lvlText w:val=""/>
      <w:lvlJc w:val="left"/>
      <w:pPr>
        <w:ind w:left="4248" w:firstLine="0"/>
      </w:pPr>
    </w:lvl>
    <w:lvl w:ilvl="3" w:tplc="FFFFFFFF">
      <w:numFmt w:val="decimal"/>
      <w:lvlText w:val=""/>
      <w:lvlJc w:val="left"/>
      <w:pPr>
        <w:ind w:left="4248" w:firstLine="0"/>
      </w:pPr>
    </w:lvl>
    <w:lvl w:ilvl="4" w:tplc="04150001">
      <w:start w:val="1"/>
      <w:numFmt w:val="bullet"/>
      <w:lvlText w:val=""/>
      <w:lvlJc w:val="left"/>
      <w:pPr>
        <w:ind w:left="4248" w:firstLine="0"/>
      </w:pPr>
      <w:rPr>
        <w:rFonts w:ascii="Symbol" w:hAnsi="Symbol" w:hint="default"/>
      </w:rPr>
    </w:lvl>
    <w:lvl w:ilvl="5" w:tplc="04150001">
      <w:start w:val="1"/>
      <w:numFmt w:val="bullet"/>
      <w:lvlText w:val=""/>
      <w:lvlJc w:val="left"/>
      <w:pPr>
        <w:ind w:left="4248" w:firstLine="0"/>
      </w:pPr>
      <w:rPr>
        <w:rFonts w:ascii="Symbol" w:hAnsi="Symbol" w:hint="default"/>
      </w:rPr>
    </w:lvl>
    <w:lvl w:ilvl="6" w:tplc="FFFFFFFF">
      <w:numFmt w:val="decimal"/>
      <w:lvlText w:val=""/>
      <w:lvlJc w:val="left"/>
      <w:pPr>
        <w:ind w:left="4248" w:firstLine="0"/>
      </w:pPr>
    </w:lvl>
    <w:lvl w:ilvl="7" w:tplc="FFFFFFFF">
      <w:numFmt w:val="decimal"/>
      <w:lvlText w:val=""/>
      <w:lvlJc w:val="left"/>
      <w:pPr>
        <w:ind w:left="4248" w:firstLine="0"/>
      </w:pPr>
    </w:lvl>
    <w:lvl w:ilvl="8" w:tplc="FFFFFFFF">
      <w:numFmt w:val="decimal"/>
      <w:lvlText w:val=""/>
      <w:lvlJc w:val="left"/>
      <w:pPr>
        <w:ind w:left="4248" w:firstLine="0"/>
      </w:pPr>
    </w:lvl>
  </w:abstractNum>
  <w:abstractNum w:abstractNumId="4" w15:restartNumberingAfterBreak="0">
    <w:nsid w:val="5FC607A6"/>
    <w:multiLevelType w:val="hybridMultilevel"/>
    <w:tmpl w:val="2C8A2F90"/>
    <w:lvl w:ilvl="0" w:tplc="6F7417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CB69B9"/>
    <w:multiLevelType w:val="hybridMultilevel"/>
    <w:tmpl w:val="A5BE353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8E43A68"/>
    <w:multiLevelType w:val="hybridMultilevel"/>
    <w:tmpl w:val="B3067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50EBA"/>
    <w:multiLevelType w:val="hybridMultilevel"/>
    <w:tmpl w:val="908CE85A"/>
    <w:lvl w:ilvl="0" w:tplc="F31882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4274ACE"/>
    <w:multiLevelType w:val="hybridMultilevel"/>
    <w:tmpl w:val="B3067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E696E"/>
    <w:multiLevelType w:val="hybridMultilevel"/>
    <w:tmpl w:val="DD742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35392">
    <w:abstractNumId w:val="5"/>
  </w:num>
  <w:num w:numId="2" w16cid:durableId="116929615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14704173">
    <w:abstractNumId w:val="2"/>
  </w:num>
  <w:num w:numId="4" w16cid:durableId="75634353">
    <w:abstractNumId w:val="7"/>
  </w:num>
  <w:num w:numId="5" w16cid:durableId="2008173175">
    <w:abstractNumId w:val="4"/>
  </w:num>
  <w:num w:numId="6" w16cid:durableId="1441220668">
    <w:abstractNumId w:val="1"/>
  </w:num>
  <w:num w:numId="7" w16cid:durableId="1112482766">
    <w:abstractNumId w:val="6"/>
  </w:num>
  <w:num w:numId="8" w16cid:durableId="745608695">
    <w:abstractNumId w:val="8"/>
  </w:num>
  <w:num w:numId="9" w16cid:durableId="1088306849">
    <w:abstractNumId w:val="0"/>
  </w:num>
  <w:num w:numId="10" w16cid:durableId="8728091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13"/>
    <w:rsid w:val="000074E1"/>
    <w:rsid w:val="00011B3E"/>
    <w:rsid w:val="000163DD"/>
    <w:rsid w:val="000271B0"/>
    <w:rsid w:val="00034F85"/>
    <w:rsid w:val="00035226"/>
    <w:rsid w:val="000509B7"/>
    <w:rsid w:val="0005427A"/>
    <w:rsid w:val="00072AC5"/>
    <w:rsid w:val="00073F1D"/>
    <w:rsid w:val="00074E74"/>
    <w:rsid w:val="0008080D"/>
    <w:rsid w:val="00084B0E"/>
    <w:rsid w:val="0008555E"/>
    <w:rsid w:val="00087F89"/>
    <w:rsid w:val="00090F22"/>
    <w:rsid w:val="000A3C00"/>
    <w:rsid w:val="000A5630"/>
    <w:rsid w:val="000A7E07"/>
    <w:rsid w:val="000B14BB"/>
    <w:rsid w:val="000B35CF"/>
    <w:rsid w:val="000D57E1"/>
    <w:rsid w:val="000E11DF"/>
    <w:rsid w:val="00100819"/>
    <w:rsid w:val="0011195E"/>
    <w:rsid w:val="00112233"/>
    <w:rsid w:val="00113E1A"/>
    <w:rsid w:val="0011406A"/>
    <w:rsid w:val="0011517F"/>
    <w:rsid w:val="00137BE1"/>
    <w:rsid w:val="00144B17"/>
    <w:rsid w:val="0014533E"/>
    <w:rsid w:val="00162F6C"/>
    <w:rsid w:val="00175A5E"/>
    <w:rsid w:val="00175D1A"/>
    <w:rsid w:val="00181471"/>
    <w:rsid w:val="001C2AB2"/>
    <w:rsid w:val="001D4B37"/>
    <w:rsid w:val="001F2E50"/>
    <w:rsid w:val="001F685B"/>
    <w:rsid w:val="00221EF9"/>
    <w:rsid w:val="00241485"/>
    <w:rsid w:val="00244D2A"/>
    <w:rsid w:val="00247B58"/>
    <w:rsid w:val="00250891"/>
    <w:rsid w:val="00250F13"/>
    <w:rsid w:val="00253346"/>
    <w:rsid w:val="00266ACA"/>
    <w:rsid w:val="00266B09"/>
    <w:rsid w:val="00291933"/>
    <w:rsid w:val="002B1E20"/>
    <w:rsid w:val="002B2111"/>
    <w:rsid w:val="002D0F6B"/>
    <w:rsid w:val="002D1E31"/>
    <w:rsid w:val="002E322D"/>
    <w:rsid w:val="002F1E4A"/>
    <w:rsid w:val="00301F0E"/>
    <w:rsid w:val="00317CAD"/>
    <w:rsid w:val="003200BD"/>
    <w:rsid w:val="00322C44"/>
    <w:rsid w:val="00323EAF"/>
    <w:rsid w:val="00340CC2"/>
    <w:rsid w:val="00344CC1"/>
    <w:rsid w:val="003500B9"/>
    <w:rsid w:val="00364565"/>
    <w:rsid w:val="003649A1"/>
    <w:rsid w:val="0037419C"/>
    <w:rsid w:val="00374F49"/>
    <w:rsid w:val="003869AC"/>
    <w:rsid w:val="00391BC8"/>
    <w:rsid w:val="00391D0C"/>
    <w:rsid w:val="0039674B"/>
    <w:rsid w:val="003A66E6"/>
    <w:rsid w:val="003C2113"/>
    <w:rsid w:val="003D4D61"/>
    <w:rsid w:val="003D7F4A"/>
    <w:rsid w:val="003E00D3"/>
    <w:rsid w:val="003F2EAF"/>
    <w:rsid w:val="00404E54"/>
    <w:rsid w:val="00413786"/>
    <w:rsid w:val="00420597"/>
    <w:rsid w:val="004238C4"/>
    <w:rsid w:val="00433863"/>
    <w:rsid w:val="00443E91"/>
    <w:rsid w:val="00485169"/>
    <w:rsid w:val="004A1CE5"/>
    <w:rsid w:val="004B6773"/>
    <w:rsid w:val="004C384F"/>
    <w:rsid w:val="004C4F06"/>
    <w:rsid w:val="004D5716"/>
    <w:rsid w:val="004E7BC1"/>
    <w:rsid w:val="00501B70"/>
    <w:rsid w:val="005114B4"/>
    <w:rsid w:val="005242CE"/>
    <w:rsid w:val="005261B2"/>
    <w:rsid w:val="00530834"/>
    <w:rsid w:val="00552FB0"/>
    <w:rsid w:val="005776BB"/>
    <w:rsid w:val="00580BA0"/>
    <w:rsid w:val="00586A4D"/>
    <w:rsid w:val="00596FD4"/>
    <w:rsid w:val="005B370C"/>
    <w:rsid w:val="005D1D8D"/>
    <w:rsid w:val="005F5298"/>
    <w:rsid w:val="005F7304"/>
    <w:rsid w:val="00600009"/>
    <w:rsid w:val="00601100"/>
    <w:rsid w:val="00610152"/>
    <w:rsid w:val="0062560D"/>
    <w:rsid w:val="00661927"/>
    <w:rsid w:val="0067576D"/>
    <w:rsid w:val="006B2A91"/>
    <w:rsid w:val="006B7845"/>
    <w:rsid w:val="006D1AE1"/>
    <w:rsid w:val="006D74D9"/>
    <w:rsid w:val="006F4EDA"/>
    <w:rsid w:val="00701C3D"/>
    <w:rsid w:val="00702317"/>
    <w:rsid w:val="00731143"/>
    <w:rsid w:val="00763636"/>
    <w:rsid w:val="00765309"/>
    <w:rsid w:val="007772DC"/>
    <w:rsid w:val="007862C3"/>
    <w:rsid w:val="00793CF8"/>
    <w:rsid w:val="007A52D7"/>
    <w:rsid w:val="007B221F"/>
    <w:rsid w:val="007C1864"/>
    <w:rsid w:val="007C6153"/>
    <w:rsid w:val="00807C07"/>
    <w:rsid w:val="00810306"/>
    <w:rsid w:val="00843DDD"/>
    <w:rsid w:val="00847DBD"/>
    <w:rsid w:val="008702C0"/>
    <w:rsid w:val="00871D56"/>
    <w:rsid w:val="00871F1B"/>
    <w:rsid w:val="008831CB"/>
    <w:rsid w:val="008875E1"/>
    <w:rsid w:val="008F300D"/>
    <w:rsid w:val="008F5487"/>
    <w:rsid w:val="00906BE1"/>
    <w:rsid w:val="00915B26"/>
    <w:rsid w:val="00923D69"/>
    <w:rsid w:val="009249F0"/>
    <w:rsid w:val="009425E9"/>
    <w:rsid w:val="00944896"/>
    <w:rsid w:val="00945553"/>
    <w:rsid w:val="00957677"/>
    <w:rsid w:val="00960FA2"/>
    <w:rsid w:val="00982563"/>
    <w:rsid w:val="00987469"/>
    <w:rsid w:val="009A522C"/>
    <w:rsid w:val="009B0688"/>
    <w:rsid w:val="009B2C8B"/>
    <w:rsid w:val="009C4C72"/>
    <w:rsid w:val="009D1610"/>
    <w:rsid w:val="009D18E9"/>
    <w:rsid w:val="009E7B3F"/>
    <w:rsid w:val="00A125F6"/>
    <w:rsid w:val="00A21BFA"/>
    <w:rsid w:val="00A321D4"/>
    <w:rsid w:val="00A370D0"/>
    <w:rsid w:val="00A53332"/>
    <w:rsid w:val="00A56397"/>
    <w:rsid w:val="00A7178B"/>
    <w:rsid w:val="00A96416"/>
    <w:rsid w:val="00A96B79"/>
    <w:rsid w:val="00AA3E97"/>
    <w:rsid w:val="00AA5D93"/>
    <w:rsid w:val="00B144C4"/>
    <w:rsid w:val="00B31633"/>
    <w:rsid w:val="00B33232"/>
    <w:rsid w:val="00B37BC8"/>
    <w:rsid w:val="00B40E6B"/>
    <w:rsid w:val="00B53583"/>
    <w:rsid w:val="00B57483"/>
    <w:rsid w:val="00B72C87"/>
    <w:rsid w:val="00B77AFA"/>
    <w:rsid w:val="00BC1389"/>
    <w:rsid w:val="00BD1EE9"/>
    <w:rsid w:val="00BE5CCE"/>
    <w:rsid w:val="00C0550F"/>
    <w:rsid w:val="00C36C36"/>
    <w:rsid w:val="00C50778"/>
    <w:rsid w:val="00C61383"/>
    <w:rsid w:val="00C7262B"/>
    <w:rsid w:val="00C75136"/>
    <w:rsid w:val="00C75263"/>
    <w:rsid w:val="00C80CEF"/>
    <w:rsid w:val="00C8271A"/>
    <w:rsid w:val="00CA1762"/>
    <w:rsid w:val="00CB147B"/>
    <w:rsid w:val="00CB4FD2"/>
    <w:rsid w:val="00CC3056"/>
    <w:rsid w:val="00CC479F"/>
    <w:rsid w:val="00CD2050"/>
    <w:rsid w:val="00CD5579"/>
    <w:rsid w:val="00CF016C"/>
    <w:rsid w:val="00D258D4"/>
    <w:rsid w:val="00D50C01"/>
    <w:rsid w:val="00D542C9"/>
    <w:rsid w:val="00D64291"/>
    <w:rsid w:val="00D70419"/>
    <w:rsid w:val="00D756EE"/>
    <w:rsid w:val="00D75E49"/>
    <w:rsid w:val="00D81253"/>
    <w:rsid w:val="00D819AF"/>
    <w:rsid w:val="00D82D70"/>
    <w:rsid w:val="00D85A8E"/>
    <w:rsid w:val="00D90233"/>
    <w:rsid w:val="00D974D8"/>
    <w:rsid w:val="00DB18C1"/>
    <w:rsid w:val="00DB25E9"/>
    <w:rsid w:val="00DC2401"/>
    <w:rsid w:val="00DC4A74"/>
    <w:rsid w:val="00DD1C42"/>
    <w:rsid w:val="00DD6694"/>
    <w:rsid w:val="00DE5668"/>
    <w:rsid w:val="00DF4BC8"/>
    <w:rsid w:val="00DF6BF6"/>
    <w:rsid w:val="00E02E94"/>
    <w:rsid w:val="00E20C68"/>
    <w:rsid w:val="00E53698"/>
    <w:rsid w:val="00E54A73"/>
    <w:rsid w:val="00E66452"/>
    <w:rsid w:val="00E71E29"/>
    <w:rsid w:val="00E83D72"/>
    <w:rsid w:val="00E90DB1"/>
    <w:rsid w:val="00EA1025"/>
    <w:rsid w:val="00EA3DC5"/>
    <w:rsid w:val="00EA70BE"/>
    <w:rsid w:val="00EC13C1"/>
    <w:rsid w:val="00ED5895"/>
    <w:rsid w:val="00EF2740"/>
    <w:rsid w:val="00EF3B03"/>
    <w:rsid w:val="00F037FB"/>
    <w:rsid w:val="00F04CA8"/>
    <w:rsid w:val="00F06994"/>
    <w:rsid w:val="00F0730A"/>
    <w:rsid w:val="00F1039F"/>
    <w:rsid w:val="00F16A6D"/>
    <w:rsid w:val="00F33DCE"/>
    <w:rsid w:val="00F36F7E"/>
    <w:rsid w:val="00F44AB7"/>
    <w:rsid w:val="00F50B10"/>
    <w:rsid w:val="00F60C8C"/>
    <w:rsid w:val="00F75159"/>
    <w:rsid w:val="00F76573"/>
    <w:rsid w:val="00F77F8B"/>
    <w:rsid w:val="00F77FCD"/>
    <w:rsid w:val="00FA1445"/>
    <w:rsid w:val="00FA56C8"/>
    <w:rsid w:val="00FB1B71"/>
    <w:rsid w:val="00FB3E97"/>
    <w:rsid w:val="00FD41BF"/>
    <w:rsid w:val="00FE4CF8"/>
    <w:rsid w:val="00FF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E7593"/>
  <w15:chartTrackingRefBased/>
  <w15:docId w15:val="{EC87D8C4-A44E-4FD3-B971-C604D7DD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D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3D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3D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61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61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1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15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7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F4A"/>
  </w:style>
  <w:style w:type="paragraph" w:styleId="Stopka">
    <w:name w:val="footer"/>
    <w:basedOn w:val="Normalny"/>
    <w:link w:val="StopkaZnak"/>
    <w:uiPriority w:val="99"/>
    <w:unhideWhenUsed/>
    <w:rsid w:val="003D7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Witek-Hajduk</dc:creator>
  <cp:keywords/>
  <dc:description/>
  <cp:lastModifiedBy>Agnieszka Farat</cp:lastModifiedBy>
  <cp:revision>2</cp:revision>
  <dcterms:created xsi:type="dcterms:W3CDTF">2022-10-18T10:11:00Z</dcterms:created>
  <dcterms:modified xsi:type="dcterms:W3CDTF">2022-10-18T10:11:00Z</dcterms:modified>
</cp:coreProperties>
</file>