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539B" w14:textId="21FE123C" w:rsidR="00E54A73" w:rsidRPr="00374F49" w:rsidRDefault="00E54A73" w:rsidP="00E54A73">
      <w:pPr>
        <w:spacing w:after="0" w:line="276" w:lineRule="auto"/>
        <w:jc w:val="center"/>
        <w:rPr>
          <w:rFonts w:ascii="Arial" w:hAnsi="Arial" w:cs="Arial"/>
          <w:b/>
          <w:bCs/>
          <w:sz w:val="24"/>
          <w:szCs w:val="24"/>
        </w:rPr>
      </w:pPr>
      <w:bookmarkStart w:id="0" w:name="_Hlk44336608"/>
      <w:r w:rsidRPr="00374F49">
        <w:rPr>
          <w:rFonts w:ascii="Arial" w:hAnsi="Arial" w:cs="Arial"/>
          <w:b/>
          <w:bCs/>
          <w:sz w:val="24"/>
          <w:szCs w:val="24"/>
          <w:u w:val="single"/>
        </w:rPr>
        <w:t xml:space="preserve">Instrukcja nr  </w:t>
      </w:r>
      <w:r w:rsidR="00987469">
        <w:rPr>
          <w:rFonts w:ascii="Arial" w:hAnsi="Arial" w:cs="Arial"/>
          <w:b/>
          <w:bCs/>
          <w:sz w:val="24"/>
          <w:szCs w:val="24"/>
          <w:u w:val="single"/>
        </w:rPr>
        <w:t>6</w:t>
      </w:r>
      <w:r w:rsidRPr="00374F49">
        <w:rPr>
          <w:rFonts w:ascii="Arial" w:hAnsi="Arial" w:cs="Arial"/>
          <w:b/>
          <w:bCs/>
          <w:sz w:val="24"/>
          <w:szCs w:val="24"/>
          <w:u w:val="single"/>
        </w:rPr>
        <w:t xml:space="preserve"> </w:t>
      </w:r>
      <w:r w:rsidRPr="00374F49">
        <w:rPr>
          <w:rFonts w:ascii="Arial" w:hAnsi="Arial" w:cs="Arial"/>
          <w:b/>
          <w:bCs/>
          <w:sz w:val="24"/>
          <w:szCs w:val="24"/>
          <w:u w:val="single"/>
        </w:rPr>
        <w:br/>
        <w:t xml:space="preserve">Dziekana Szkoły Doktorskiej w Szkole Głównej Handlowej w Warszawie </w:t>
      </w:r>
      <w:r w:rsidRPr="00374F49">
        <w:rPr>
          <w:rFonts w:ascii="Arial" w:hAnsi="Arial" w:cs="Arial"/>
          <w:b/>
          <w:bCs/>
          <w:sz w:val="24"/>
          <w:szCs w:val="24"/>
          <w:u w:val="single"/>
        </w:rPr>
        <w:br/>
        <w:t xml:space="preserve">z dnia </w:t>
      </w:r>
      <w:r w:rsidR="00987469">
        <w:rPr>
          <w:rFonts w:ascii="Arial" w:hAnsi="Arial" w:cs="Arial"/>
          <w:b/>
          <w:bCs/>
          <w:sz w:val="24"/>
          <w:szCs w:val="24"/>
          <w:u w:val="single"/>
        </w:rPr>
        <w:t>22 czerwca</w:t>
      </w:r>
      <w:r w:rsidRPr="00374F49">
        <w:rPr>
          <w:rFonts w:ascii="Arial" w:hAnsi="Arial" w:cs="Arial"/>
          <w:b/>
          <w:bCs/>
          <w:sz w:val="24"/>
          <w:szCs w:val="24"/>
          <w:u w:val="single"/>
        </w:rPr>
        <w:t xml:space="preserve"> 20</w:t>
      </w:r>
      <w:r w:rsidR="00987469">
        <w:rPr>
          <w:rFonts w:ascii="Arial" w:hAnsi="Arial" w:cs="Arial"/>
          <w:b/>
          <w:bCs/>
          <w:sz w:val="24"/>
          <w:szCs w:val="24"/>
          <w:u w:val="single"/>
        </w:rPr>
        <w:t>20</w:t>
      </w:r>
      <w:r w:rsidRPr="00374F49">
        <w:rPr>
          <w:rFonts w:ascii="Arial" w:hAnsi="Arial" w:cs="Arial"/>
          <w:b/>
          <w:bCs/>
          <w:sz w:val="24"/>
          <w:szCs w:val="24"/>
          <w:u w:val="single"/>
        </w:rPr>
        <w:t xml:space="preserve"> roku</w:t>
      </w:r>
      <w:r w:rsidRPr="00374F49">
        <w:rPr>
          <w:rFonts w:ascii="Arial" w:hAnsi="Arial" w:cs="Arial"/>
          <w:b/>
          <w:bCs/>
          <w:sz w:val="24"/>
          <w:szCs w:val="24"/>
        </w:rPr>
        <w:t xml:space="preserve"> </w:t>
      </w:r>
      <w:r w:rsidR="00987469">
        <w:rPr>
          <w:rFonts w:ascii="Arial" w:hAnsi="Arial" w:cs="Arial"/>
          <w:b/>
          <w:bCs/>
          <w:sz w:val="24"/>
          <w:szCs w:val="24"/>
        </w:rPr>
        <w:br/>
      </w:r>
      <w:r w:rsidRPr="00374F49">
        <w:rPr>
          <w:rFonts w:ascii="Arial" w:hAnsi="Arial" w:cs="Arial"/>
          <w:b/>
          <w:bCs/>
          <w:sz w:val="24"/>
          <w:szCs w:val="24"/>
        </w:rPr>
        <w:br/>
        <w:t xml:space="preserve">w sprawie </w:t>
      </w:r>
      <w:r w:rsidR="000074E1" w:rsidRPr="00374F49">
        <w:rPr>
          <w:rFonts w:ascii="Arial" w:hAnsi="Arial" w:cs="Arial"/>
          <w:b/>
          <w:bCs/>
          <w:sz w:val="24"/>
          <w:szCs w:val="24"/>
        </w:rPr>
        <w:t xml:space="preserve">egzaminów kierunkowych </w:t>
      </w:r>
      <w:r w:rsidRPr="00374F49">
        <w:rPr>
          <w:rFonts w:ascii="Arial" w:hAnsi="Arial" w:cs="Arial"/>
          <w:b/>
          <w:bCs/>
          <w:sz w:val="24"/>
          <w:szCs w:val="24"/>
        </w:rPr>
        <w:t>w roku akademickim 20</w:t>
      </w:r>
      <w:r w:rsidR="00250891" w:rsidRPr="00374F49">
        <w:rPr>
          <w:rFonts w:ascii="Arial" w:hAnsi="Arial" w:cs="Arial"/>
          <w:b/>
          <w:bCs/>
          <w:sz w:val="24"/>
          <w:szCs w:val="24"/>
        </w:rPr>
        <w:t>20</w:t>
      </w:r>
      <w:r w:rsidRPr="00374F49">
        <w:rPr>
          <w:rFonts w:ascii="Arial" w:hAnsi="Arial" w:cs="Arial"/>
          <w:b/>
          <w:bCs/>
          <w:sz w:val="24"/>
          <w:szCs w:val="24"/>
        </w:rPr>
        <w:t>/202</w:t>
      </w:r>
      <w:r w:rsidR="00250891" w:rsidRPr="00374F49">
        <w:rPr>
          <w:rFonts w:ascii="Arial" w:hAnsi="Arial" w:cs="Arial"/>
          <w:b/>
          <w:bCs/>
          <w:sz w:val="24"/>
          <w:szCs w:val="24"/>
        </w:rPr>
        <w:t>1</w:t>
      </w:r>
    </w:p>
    <w:p w14:paraId="4F89378D" w14:textId="77777777" w:rsidR="00E54A73" w:rsidRPr="00374F49" w:rsidRDefault="00E54A73" w:rsidP="00E54A73">
      <w:pPr>
        <w:spacing w:after="0"/>
        <w:rPr>
          <w:rFonts w:ascii="Arial" w:hAnsi="Arial" w:cs="Arial"/>
          <w:sz w:val="24"/>
          <w:szCs w:val="24"/>
        </w:rPr>
      </w:pPr>
    </w:p>
    <w:p w14:paraId="5E24F8AF" w14:textId="5C15FD53" w:rsidR="00E54A73" w:rsidRPr="00374F49" w:rsidRDefault="00E54A73" w:rsidP="00987469">
      <w:pPr>
        <w:spacing w:after="0" w:line="360" w:lineRule="auto"/>
        <w:jc w:val="both"/>
        <w:rPr>
          <w:rFonts w:ascii="Arial" w:hAnsi="Arial" w:cs="Arial"/>
          <w:sz w:val="24"/>
          <w:szCs w:val="24"/>
        </w:rPr>
      </w:pPr>
      <w:r w:rsidRPr="00374F49">
        <w:rPr>
          <w:rFonts w:ascii="Arial" w:hAnsi="Arial" w:cs="Arial"/>
          <w:sz w:val="24"/>
          <w:szCs w:val="24"/>
        </w:rPr>
        <w:t xml:space="preserve">Na podstawie § 3 Regulaminu Szkoły Doktorskiej w Szkole Głównej Handlowej </w:t>
      </w:r>
      <w:r w:rsidR="00987469">
        <w:rPr>
          <w:rFonts w:ascii="Arial" w:hAnsi="Arial" w:cs="Arial"/>
          <w:sz w:val="24"/>
          <w:szCs w:val="24"/>
        </w:rPr>
        <w:br/>
      </w:r>
      <w:r w:rsidRPr="00374F49">
        <w:rPr>
          <w:rFonts w:ascii="Arial" w:hAnsi="Arial" w:cs="Arial"/>
          <w:sz w:val="24"/>
          <w:szCs w:val="24"/>
        </w:rPr>
        <w:t>w Warszawie stanowiącego załącznik do Uchwały nr 465 Senatu Szkoły Głównej Handlowej w Warszawie z dnia 17 kwietnia 2019 roku ustalam co następuje:</w:t>
      </w:r>
    </w:p>
    <w:p w14:paraId="584C8F93" w14:textId="22013776" w:rsidR="00763636" w:rsidRPr="00374F49" w:rsidRDefault="00B57483" w:rsidP="009249F0">
      <w:pPr>
        <w:pStyle w:val="Akapitzlist"/>
        <w:numPr>
          <w:ilvl w:val="0"/>
          <w:numId w:val="7"/>
        </w:numPr>
        <w:spacing w:after="160" w:line="360" w:lineRule="auto"/>
        <w:jc w:val="both"/>
        <w:rPr>
          <w:rFonts w:ascii="Arial" w:hAnsi="Arial" w:cs="Arial"/>
        </w:rPr>
      </w:pPr>
      <w:r w:rsidRPr="00374F49">
        <w:rPr>
          <w:rFonts w:ascii="Arial" w:hAnsi="Arial" w:cs="Arial"/>
        </w:rPr>
        <w:t xml:space="preserve"> Do dnia 30 </w:t>
      </w:r>
      <w:r w:rsidR="00702317" w:rsidRPr="00374F49">
        <w:rPr>
          <w:rFonts w:ascii="Arial" w:hAnsi="Arial" w:cs="Arial"/>
        </w:rPr>
        <w:t xml:space="preserve">czerwca dziekan Szkoły Doktorskiej powołuje Komisje Egzaminacyjne do przeprowadzenia </w:t>
      </w:r>
      <w:r w:rsidR="0011406A" w:rsidRPr="00374F49">
        <w:rPr>
          <w:rFonts w:ascii="Arial" w:hAnsi="Arial" w:cs="Arial"/>
        </w:rPr>
        <w:t>egzaminów kierunkowych.</w:t>
      </w:r>
    </w:p>
    <w:p w14:paraId="7D875248" w14:textId="77777777" w:rsidR="0008555E" w:rsidRPr="00374F49" w:rsidRDefault="002D1E31" w:rsidP="009249F0">
      <w:pPr>
        <w:pStyle w:val="Akapitzlist"/>
        <w:numPr>
          <w:ilvl w:val="0"/>
          <w:numId w:val="7"/>
        </w:numPr>
        <w:spacing w:after="160" w:line="360" w:lineRule="auto"/>
        <w:jc w:val="both"/>
        <w:rPr>
          <w:rFonts w:ascii="Arial" w:hAnsi="Arial" w:cs="Arial"/>
        </w:rPr>
      </w:pPr>
      <w:r w:rsidRPr="00374F49">
        <w:rPr>
          <w:rFonts w:ascii="Arial" w:hAnsi="Arial" w:cs="Arial"/>
        </w:rPr>
        <w:t>Do egzaminu kierunkowego mogą przystąpić doktoranci, którzy w roku akademickim 2020/2021 będą na semestrze I, II, III lub IV. Każdy doktorant ma prawo do trzech podejść do egzaminu kierunkowego. Przy czym ostatni trzeci termin musi być wykorzystany przed końcem IV semestru studiów.</w:t>
      </w:r>
    </w:p>
    <w:p w14:paraId="23B97DB7" w14:textId="3E35FB5C" w:rsidR="002D1E31" w:rsidRPr="00374F49" w:rsidRDefault="0008555E" w:rsidP="009249F0">
      <w:pPr>
        <w:pStyle w:val="Akapitzlist"/>
        <w:numPr>
          <w:ilvl w:val="0"/>
          <w:numId w:val="7"/>
        </w:numPr>
        <w:spacing w:after="160" w:line="360" w:lineRule="auto"/>
        <w:jc w:val="both"/>
        <w:rPr>
          <w:rFonts w:ascii="Arial" w:hAnsi="Arial" w:cs="Arial"/>
        </w:rPr>
      </w:pPr>
      <w:r w:rsidRPr="00374F49">
        <w:rPr>
          <w:rFonts w:ascii="Arial" w:hAnsi="Arial" w:cs="Arial"/>
        </w:rPr>
        <w:t>Planowane terminy egzaminów kierunkowych w semestrze zimowym zostaną podane do dnia 10 października, natomiast planowane w semestrze letnim do dnia 31 stycznia.</w:t>
      </w:r>
    </w:p>
    <w:p w14:paraId="37F8CA18" w14:textId="777B4AC2" w:rsidR="00945553" w:rsidRPr="00374F49" w:rsidRDefault="00074E74" w:rsidP="009249F0">
      <w:pPr>
        <w:pStyle w:val="Akapitzlist"/>
        <w:numPr>
          <w:ilvl w:val="0"/>
          <w:numId w:val="7"/>
        </w:numPr>
        <w:spacing w:after="160" w:line="360" w:lineRule="auto"/>
        <w:jc w:val="both"/>
        <w:rPr>
          <w:rFonts w:ascii="Arial" w:hAnsi="Arial" w:cs="Arial"/>
        </w:rPr>
      </w:pPr>
      <w:r w:rsidRPr="00374F49">
        <w:rPr>
          <w:rFonts w:ascii="Arial" w:hAnsi="Arial" w:cs="Arial"/>
        </w:rPr>
        <w:t xml:space="preserve">Doktoranci zgłaszają chęć przystąpienia </w:t>
      </w:r>
      <w:r w:rsidR="0008080D" w:rsidRPr="00374F49">
        <w:rPr>
          <w:rFonts w:ascii="Arial" w:hAnsi="Arial" w:cs="Arial"/>
        </w:rPr>
        <w:t xml:space="preserve">do danego terminu egzaminu kierunkowego najpóźniej dwa tygodnie </w:t>
      </w:r>
      <w:r w:rsidR="00F33DCE" w:rsidRPr="00374F49">
        <w:rPr>
          <w:rFonts w:ascii="Arial" w:hAnsi="Arial" w:cs="Arial"/>
        </w:rPr>
        <w:t>przed tym terminem.</w:t>
      </w:r>
    </w:p>
    <w:p w14:paraId="4BBB3CDF" w14:textId="4BE48147" w:rsidR="00C7262B" w:rsidRPr="00374F49" w:rsidRDefault="00DB18C1" w:rsidP="009249F0">
      <w:pPr>
        <w:pStyle w:val="Akapitzlist"/>
        <w:numPr>
          <w:ilvl w:val="0"/>
          <w:numId w:val="7"/>
        </w:numPr>
        <w:spacing w:after="160" w:line="360" w:lineRule="auto"/>
        <w:jc w:val="both"/>
        <w:rPr>
          <w:rFonts w:ascii="Arial" w:hAnsi="Arial" w:cs="Arial"/>
        </w:rPr>
      </w:pPr>
      <w:r w:rsidRPr="00374F49">
        <w:rPr>
          <w:rFonts w:ascii="Arial" w:hAnsi="Arial" w:cs="Arial"/>
        </w:rPr>
        <w:t xml:space="preserve">Ze względu na wagę egzaminów kierunkowych (pozytywny wynik z egzaminu zwalnia z uczęszczania na przedmioty kierunkowe z Bloku B) rekomenduje się, aby w miarę możliwości składały się one z dwóch części: pisemnej oraz ustnej. Przy czym część pisemna powinna trwać co najmniej 120 minut i zawierać sprawdzenie umiejętności rozwiązywania problemów z danego zakresu egzaminu kierunkowego. Część ustna powinna zawierać </w:t>
      </w:r>
      <w:r w:rsidR="00DF4BC8" w:rsidRPr="00374F49">
        <w:rPr>
          <w:rFonts w:ascii="Arial" w:hAnsi="Arial" w:cs="Arial"/>
        </w:rPr>
        <w:t xml:space="preserve">co najmniej </w:t>
      </w:r>
      <w:r w:rsidRPr="00374F49">
        <w:rPr>
          <w:rFonts w:ascii="Arial" w:hAnsi="Arial" w:cs="Arial"/>
        </w:rPr>
        <w:t>dwa pytania</w:t>
      </w:r>
      <w:r w:rsidR="00247B58" w:rsidRPr="00374F49">
        <w:rPr>
          <w:rFonts w:ascii="Arial" w:hAnsi="Arial" w:cs="Arial"/>
        </w:rPr>
        <w:t>.</w:t>
      </w:r>
      <w:r w:rsidRPr="00374F49">
        <w:rPr>
          <w:rFonts w:ascii="Arial" w:hAnsi="Arial" w:cs="Arial"/>
        </w:rPr>
        <w:t xml:space="preserve"> </w:t>
      </w:r>
      <w:r w:rsidR="00871F1B" w:rsidRPr="00374F49">
        <w:rPr>
          <w:rFonts w:ascii="Arial" w:hAnsi="Arial" w:cs="Arial"/>
        </w:rPr>
        <w:t xml:space="preserve"> </w:t>
      </w:r>
      <w:r w:rsidR="00C7262B" w:rsidRPr="00374F49">
        <w:rPr>
          <w:rFonts w:ascii="Arial" w:hAnsi="Arial" w:cs="Arial"/>
        </w:rPr>
        <w:t xml:space="preserve"> </w:t>
      </w:r>
    </w:p>
    <w:p w14:paraId="2418722B" w14:textId="073F05EF" w:rsidR="00DB18C1" w:rsidRPr="00374F49" w:rsidRDefault="00072AC5" w:rsidP="009249F0">
      <w:pPr>
        <w:pStyle w:val="Akapitzlist"/>
        <w:numPr>
          <w:ilvl w:val="0"/>
          <w:numId w:val="7"/>
        </w:numPr>
        <w:spacing w:after="160" w:line="360" w:lineRule="auto"/>
        <w:jc w:val="both"/>
        <w:rPr>
          <w:rFonts w:ascii="Arial" w:hAnsi="Arial" w:cs="Arial"/>
        </w:rPr>
      </w:pPr>
      <w:r w:rsidRPr="00374F49">
        <w:rPr>
          <w:rFonts w:ascii="Arial" w:hAnsi="Arial" w:cs="Arial"/>
        </w:rPr>
        <w:t xml:space="preserve"> Z egzaminu kierunkowego można łącznie uzyskać 100 punktów. </w:t>
      </w:r>
      <w:r w:rsidR="006F4EDA" w:rsidRPr="00374F49">
        <w:rPr>
          <w:rFonts w:ascii="Arial" w:hAnsi="Arial" w:cs="Arial"/>
        </w:rPr>
        <w:t xml:space="preserve">Poniżej </w:t>
      </w:r>
      <w:r w:rsidR="004C384F" w:rsidRPr="00374F49">
        <w:rPr>
          <w:rFonts w:ascii="Arial" w:hAnsi="Arial" w:cs="Arial"/>
        </w:rPr>
        <w:t>skala</w:t>
      </w:r>
      <w:r w:rsidR="006F4EDA" w:rsidRPr="00374F49">
        <w:rPr>
          <w:rFonts w:ascii="Arial" w:hAnsi="Arial" w:cs="Arial"/>
        </w:rPr>
        <w:t xml:space="preserve"> przyporządkowująca ocenę końcową uzyskanej liczbie punktów:</w:t>
      </w:r>
    </w:p>
    <w:p w14:paraId="2083574F" w14:textId="7B7A5919" w:rsidR="009B2C8B" w:rsidRPr="00374F49" w:rsidRDefault="00E66452" w:rsidP="00084B0E">
      <w:pPr>
        <w:spacing w:line="240" w:lineRule="auto"/>
        <w:ind w:left="1416"/>
        <w:jc w:val="both"/>
        <w:rPr>
          <w:rFonts w:ascii="Arial" w:hAnsi="Arial" w:cs="Arial"/>
          <w:sz w:val="24"/>
          <w:szCs w:val="24"/>
        </w:rPr>
      </w:pPr>
      <w:r w:rsidRPr="00374F49">
        <w:rPr>
          <w:rFonts w:ascii="Arial" w:hAnsi="Arial" w:cs="Arial"/>
          <w:sz w:val="24"/>
          <w:szCs w:val="24"/>
        </w:rPr>
        <w:t xml:space="preserve">Mniej niż 65 </w:t>
      </w:r>
      <w:r w:rsidR="000509B7" w:rsidRPr="00374F49">
        <w:rPr>
          <w:rFonts w:ascii="Arial" w:hAnsi="Arial" w:cs="Arial"/>
          <w:sz w:val="24"/>
          <w:szCs w:val="24"/>
        </w:rPr>
        <w:t>–</w:t>
      </w:r>
      <w:r w:rsidRPr="00374F49">
        <w:rPr>
          <w:rFonts w:ascii="Arial" w:hAnsi="Arial" w:cs="Arial"/>
          <w:sz w:val="24"/>
          <w:szCs w:val="24"/>
        </w:rPr>
        <w:t xml:space="preserve"> </w:t>
      </w:r>
      <w:r w:rsidR="0011195E" w:rsidRPr="00374F49">
        <w:rPr>
          <w:rFonts w:ascii="Arial" w:hAnsi="Arial" w:cs="Arial"/>
          <w:sz w:val="24"/>
          <w:szCs w:val="24"/>
        </w:rPr>
        <w:t>2</w:t>
      </w:r>
    </w:p>
    <w:p w14:paraId="52075860" w14:textId="17D34904" w:rsidR="000509B7" w:rsidRPr="00374F49" w:rsidRDefault="00580BA0" w:rsidP="00084B0E">
      <w:pPr>
        <w:spacing w:line="240" w:lineRule="auto"/>
        <w:ind w:left="1416"/>
        <w:jc w:val="both"/>
        <w:rPr>
          <w:rFonts w:ascii="Arial" w:hAnsi="Arial" w:cs="Arial"/>
          <w:sz w:val="24"/>
          <w:szCs w:val="24"/>
        </w:rPr>
      </w:pPr>
      <w:r w:rsidRPr="00374F49">
        <w:rPr>
          <w:rFonts w:ascii="Arial" w:hAnsi="Arial" w:cs="Arial"/>
          <w:sz w:val="24"/>
          <w:szCs w:val="24"/>
        </w:rPr>
        <w:t>[65, 72) -  3</w:t>
      </w:r>
    </w:p>
    <w:p w14:paraId="1FA4E8DA" w14:textId="0AA16CA4" w:rsidR="004C384F" w:rsidRPr="00374F49" w:rsidRDefault="004C384F" w:rsidP="00084B0E">
      <w:pPr>
        <w:spacing w:line="240" w:lineRule="auto"/>
        <w:ind w:left="1416"/>
        <w:jc w:val="both"/>
        <w:rPr>
          <w:rFonts w:ascii="Arial" w:hAnsi="Arial" w:cs="Arial"/>
          <w:sz w:val="24"/>
          <w:szCs w:val="24"/>
        </w:rPr>
      </w:pPr>
      <w:r w:rsidRPr="00374F49">
        <w:rPr>
          <w:rFonts w:ascii="Arial" w:hAnsi="Arial" w:cs="Arial"/>
          <w:sz w:val="24"/>
          <w:szCs w:val="24"/>
        </w:rPr>
        <w:t xml:space="preserve">[72, 79) </w:t>
      </w:r>
      <w:r w:rsidR="003D4D61" w:rsidRPr="00374F49">
        <w:rPr>
          <w:rFonts w:ascii="Arial" w:hAnsi="Arial" w:cs="Arial"/>
          <w:sz w:val="24"/>
          <w:szCs w:val="24"/>
        </w:rPr>
        <w:t>–</w:t>
      </w:r>
      <w:r w:rsidRPr="00374F49">
        <w:rPr>
          <w:rFonts w:ascii="Arial" w:hAnsi="Arial" w:cs="Arial"/>
          <w:sz w:val="24"/>
          <w:szCs w:val="24"/>
        </w:rPr>
        <w:t xml:space="preserve"> </w:t>
      </w:r>
      <w:r w:rsidR="003D4D61" w:rsidRPr="00374F49">
        <w:rPr>
          <w:rFonts w:ascii="Arial" w:hAnsi="Arial" w:cs="Arial"/>
          <w:sz w:val="24"/>
          <w:szCs w:val="24"/>
        </w:rPr>
        <w:t>3,5</w:t>
      </w:r>
    </w:p>
    <w:p w14:paraId="6DD17A5C" w14:textId="62EB0A19" w:rsidR="003D4D61" w:rsidRPr="00374F49" w:rsidRDefault="003D4D61" w:rsidP="00084B0E">
      <w:pPr>
        <w:spacing w:line="240" w:lineRule="auto"/>
        <w:ind w:left="1416"/>
        <w:jc w:val="both"/>
        <w:rPr>
          <w:rFonts w:ascii="Arial" w:hAnsi="Arial" w:cs="Arial"/>
          <w:sz w:val="24"/>
          <w:szCs w:val="24"/>
        </w:rPr>
      </w:pPr>
      <w:r w:rsidRPr="00374F49">
        <w:rPr>
          <w:rFonts w:ascii="Arial" w:hAnsi="Arial" w:cs="Arial"/>
          <w:sz w:val="24"/>
          <w:szCs w:val="24"/>
        </w:rPr>
        <w:t xml:space="preserve">[79, 86) </w:t>
      </w:r>
      <w:r w:rsidR="00CB147B" w:rsidRPr="00374F49">
        <w:rPr>
          <w:rFonts w:ascii="Arial" w:hAnsi="Arial" w:cs="Arial"/>
          <w:sz w:val="24"/>
          <w:szCs w:val="24"/>
        </w:rPr>
        <w:t>-  4,0</w:t>
      </w:r>
    </w:p>
    <w:p w14:paraId="6DEF5A3D" w14:textId="60E0DA56" w:rsidR="00CB147B" w:rsidRPr="00374F49" w:rsidRDefault="00CB147B" w:rsidP="00084B0E">
      <w:pPr>
        <w:spacing w:line="240" w:lineRule="auto"/>
        <w:ind w:left="1416"/>
        <w:jc w:val="both"/>
        <w:rPr>
          <w:rFonts w:ascii="Arial" w:hAnsi="Arial" w:cs="Arial"/>
          <w:sz w:val="24"/>
          <w:szCs w:val="24"/>
        </w:rPr>
      </w:pPr>
      <w:r w:rsidRPr="00374F49">
        <w:rPr>
          <w:rFonts w:ascii="Arial" w:hAnsi="Arial" w:cs="Arial"/>
          <w:sz w:val="24"/>
          <w:szCs w:val="24"/>
        </w:rPr>
        <w:t xml:space="preserve">[86, 93) </w:t>
      </w:r>
      <w:r w:rsidR="006B7845" w:rsidRPr="00374F49">
        <w:rPr>
          <w:rFonts w:ascii="Arial" w:hAnsi="Arial" w:cs="Arial"/>
          <w:sz w:val="24"/>
          <w:szCs w:val="24"/>
        </w:rPr>
        <w:t>– 4,5</w:t>
      </w:r>
    </w:p>
    <w:p w14:paraId="2D24F7A0" w14:textId="08A5F325" w:rsidR="006B7845" w:rsidRPr="00374F49" w:rsidRDefault="006B7845" w:rsidP="00084B0E">
      <w:pPr>
        <w:spacing w:line="240" w:lineRule="auto"/>
        <w:ind w:left="1416"/>
        <w:jc w:val="both"/>
        <w:rPr>
          <w:rFonts w:ascii="Arial" w:hAnsi="Arial" w:cs="Arial"/>
          <w:sz w:val="24"/>
          <w:szCs w:val="24"/>
        </w:rPr>
      </w:pPr>
      <w:r w:rsidRPr="00374F49">
        <w:rPr>
          <w:rFonts w:ascii="Arial" w:hAnsi="Arial" w:cs="Arial"/>
          <w:sz w:val="24"/>
          <w:szCs w:val="24"/>
        </w:rPr>
        <w:t>[93, 100]</w:t>
      </w:r>
      <w:r w:rsidR="000A5630" w:rsidRPr="00374F49">
        <w:rPr>
          <w:rFonts w:ascii="Arial" w:hAnsi="Arial" w:cs="Arial"/>
          <w:sz w:val="24"/>
          <w:szCs w:val="24"/>
        </w:rPr>
        <w:t xml:space="preserve"> – 5,0</w:t>
      </w:r>
    </w:p>
    <w:p w14:paraId="30AE353E" w14:textId="77777777" w:rsidR="009B2C8B" w:rsidRPr="00374F49" w:rsidRDefault="009B2C8B" w:rsidP="00084B0E">
      <w:pPr>
        <w:spacing w:line="360" w:lineRule="auto"/>
        <w:jc w:val="both"/>
        <w:rPr>
          <w:rFonts w:ascii="Arial" w:hAnsi="Arial" w:cs="Arial"/>
          <w:sz w:val="24"/>
          <w:szCs w:val="24"/>
        </w:rPr>
      </w:pPr>
    </w:p>
    <w:p w14:paraId="7B3DA7E5" w14:textId="4B35B95B" w:rsidR="00100819" w:rsidRPr="00374F49" w:rsidRDefault="00100819" w:rsidP="009249F0">
      <w:pPr>
        <w:pStyle w:val="Akapitzlist"/>
        <w:numPr>
          <w:ilvl w:val="0"/>
          <w:numId w:val="7"/>
        </w:numPr>
        <w:spacing w:after="160" w:line="360" w:lineRule="auto"/>
        <w:jc w:val="both"/>
        <w:rPr>
          <w:rFonts w:ascii="Arial" w:hAnsi="Arial" w:cs="Arial"/>
        </w:rPr>
      </w:pPr>
      <w:r w:rsidRPr="00374F49">
        <w:rPr>
          <w:rFonts w:ascii="Arial" w:hAnsi="Arial" w:cs="Arial"/>
        </w:rPr>
        <w:lastRenderedPageBreak/>
        <w:t>Zakres tematyczny egzaminu powinien pokrywać podstawowe zagadnienia z przedmiotów kierunkowych powiązanych programowo z egzaminem kierunkowym.</w:t>
      </w:r>
    </w:p>
    <w:p w14:paraId="0B36F2A4" w14:textId="0DBE654C" w:rsidR="0011406A" w:rsidRPr="00374F49" w:rsidRDefault="0011406A" w:rsidP="009249F0">
      <w:pPr>
        <w:pStyle w:val="Akapitzlist"/>
        <w:numPr>
          <w:ilvl w:val="0"/>
          <w:numId w:val="7"/>
        </w:numPr>
        <w:spacing w:after="160" w:line="360" w:lineRule="auto"/>
        <w:jc w:val="both"/>
        <w:rPr>
          <w:rFonts w:ascii="Arial" w:hAnsi="Arial" w:cs="Arial"/>
        </w:rPr>
      </w:pPr>
      <w:r w:rsidRPr="00374F49">
        <w:rPr>
          <w:rFonts w:ascii="Arial" w:hAnsi="Arial" w:cs="Arial"/>
        </w:rPr>
        <w:t>Komisje Egzaminacyjne do dnia 1</w:t>
      </w:r>
      <w:r w:rsidR="005776BB" w:rsidRPr="00374F49">
        <w:rPr>
          <w:rFonts w:ascii="Arial" w:hAnsi="Arial" w:cs="Arial"/>
        </w:rPr>
        <w:t>8</w:t>
      </w:r>
      <w:r w:rsidRPr="00374F49">
        <w:rPr>
          <w:rFonts w:ascii="Arial" w:hAnsi="Arial" w:cs="Arial"/>
        </w:rPr>
        <w:t xml:space="preserve"> września </w:t>
      </w:r>
      <w:r w:rsidR="00F06994" w:rsidRPr="00374F49">
        <w:rPr>
          <w:rFonts w:ascii="Arial" w:hAnsi="Arial" w:cs="Arial"/>
        </w:rPr>
        <w:t xml:space="preserve">przekazują dziekanowi Szkoły Doktorskiej wypełnione Karty </w:t>
      </w:r>
      <w:r w:rsidR="005F5298" w:rsidRPr="00374F49">
        <w:rPr>
          <w:rFonts w:ascii="Arial" w:hAnsi="Arial" w:cs="Arial"/>
        </w:rPr>
        <w:t>Egzaminu Kierunkowego</w:t>
      </w:r>
      <w:r w:rsidR="00C80CEF" w:rsidRPr="00374F49">
        <w:rPr>
          <w:rFonts w:ascii="Arial" w:hAnsi="Arial" w:cs="Arial"/>
        </w:rPr>
        <w:t xml:space="preserve"> wraz z informacją</w:t>
      </w:r>
      <w:r w:rsidR="00FD41BF" w:rsidRPr="00374F49">
        <w:rPr>
          <w:rFonts w:ascii="Arial" w:hAnsi="Arial" w:cs="Arial"/>
        </w:rPr>
        <w:t xml:space="preserve"> </w:t>
      </w:r>
      <w:r w:rsidR="00A96416" w:rsidRPr="00374F49">
        <w:rPr>
          <w:rFonts w:ascii="Arial" w:hAnsi="Arial" w:cs="Arial"/>
        </w:rPr>
        <w:t xml:space="preserve">o </w:t>
      </w:r>
      <w:r w:rsidR="005242CE" w:rsidRPr="00374F49">
        <w:rPr>
          <w:rFonts w:ascii="Arial" w:hAnsi="Arial" w:cs="Arial"/>
        </w:rPr>
        <w:t>planowan</w:t>
      </w:r>
      <w:r w:rsidR="000B35CF" w:rsidRPr="00374F49">
        <w:rPr>
          <w:rFonts w:ascii="Arial" w:hAnsi="Arial" w:cs="Arial"/>
        </w:rPr>
        <w:t>ej</w:t>
      </w:r>
      <w:r w:rsidR="00AA3E97" w:rsidRPr="00374F49">
        <w:rPr>
          <w:rFonts w:ascii="Arial" w:hAnsi="Arial" w:cs="Arial"/>
        </w:rPr>
        <w:t xml:space="preserve"> </w:t>
      </w:r>
      <w:r w:rsidR="00A96416" w:rsidRPr="00374F49">
        <w:rPr>
          <w:rFonts w:ascii="Arial" w:hAnsi="Arial" w:cs="Arial"/>
        </w:rPr>
        <w:t xml:space="preserve">długości </w:t>
      </w:r>
      <w:r w:rsidR="000B35CF" w:rsidRPr="00374F49">
        <w:rPr>
          <w:rFonts w:ascii="Arial" w:hAnsi="Arial" w:cs="Arial"/>
        </w:rPr>
        <w:t xml:space="preserve">trwania </w:t>
      </w:r>
      <w:r w:rsidR="002D1E31" w:rsidRPr="00374F49">
        <w:rPr>
          <w:rFonts w:ascii="Arial" w:hAnsi="Arial" w:cs="Arial"/>
        </w:rPr>
        <w:t>egzaminu.</w:t>
      </w:r>
    </w:p>
    <w:p w14:paraId="4214B125" w14:textId="74950B36" w:rsidR="00B33232" w:rsidRPr="00374F49" w:rsidRDefault="00B72C87" w:rsidP="009249F0">
      <w:pPr>
        <w:pStyle w:val="Akapitzlist"/>
        <w:numPr>
          <w:ilvl w:val="0"/>
          <w:numId w:val="7"/>
        </w:numPr>
        <w:spacing w:after="160" w:line="360" w:lineRule="auto"/>
        <w:jc w:val="both"/>
        <w:rPr>
          <w:rFonts w:ascii="Arial" w:hAnsi="Arial" w:cs="Arial"/>
        </w:rPr>
      </w:pPr>
      <w:r w:rsidRPr="00374F49">
        <w:rPr>
          <w:rFonts w:ascii="Arial" w:hAnsi="Arial" w:cs="Arial"/>
        </w:rPr>
        <w:t xml:space="preserve">Do dnia </w:t>
      </w:r>
      <w:r w:rsidR="00793CF8" w:rsidRPr="00374F49">
        <w:rPr>
          <w:rFonts w:ascii="Arial" w:hAnsi="Arial" w:cs="Arial"/>
        </w:rPr>
        <w:t>1 października</w:t>
      </w:r>
      <w:r w:rsidRPr="00374F49">
        <w:rPr>
          <w:rFonts w:ascii="Arial" w:hAnsi="Arial" w:cs="Arial"/>
        </w:rPr>
        <w:t xml:space="preserve"> dziekan podaje do wiadomości </w:t>
      </w:r>
      <w:r w:rsidR="008F5487" w:rsidRPr="00374F49">
        <w:rPr>
          <w:rFonts w:ascii="Arial" w:hAnsi="Arial" w:cs="Arial"/>
        </w:rPr>
        <w:t xml:space="preserve">doktorantów </w:t>
      </w:r>
      <w:r w:rsidRPr="00374F49">
        <w:rPr>
          <w:rFonts w:ascii="Arial" w:hAnsi="Arial" w:cs="Arial"/>
        </w:rPr>
        <w:t xml:space="preserve">treść </w:t>
      </w:r>
      <w:r w:rsidR="008F5487" w:rsidRPr="00374F49">
        <w:rPr>
          <w:rFonts w:ascii="Arial" w:hAnsi="Arial" w:cs="Arial"/>
        </w:rPr>
        <w:t>Kart Egzaminacyjn</w:t>
      </w:r>
      <w:r w:rsidR="008831CB" w:rsidRPr="00374F49">
        <w:rPr>
          <w:rFonts w:ascii="Arial" w:hAnsi="Arial" w:cs="Arial"/>
        </w:rPr>
        <w:t>ych wraz z</w:t>
      </w:r>
      <w:r w:rsidR="00F0730A" w:rsidRPr="00374F49">
        <w:rPr>
          <w:rFonts w:ascii="Arial" w:hAnsi="Arial" w:cs="Arial"/>
        </w:rPr>
        <w:t xml:space="preserve"> formą jego przeprowadzenia.</w:t>
      </w:r>
    </w:p>
    <w:p w14:paraId="7C7600AD" w14:textId="14DC1CD1" w:rsidR="007B221F" w:rsidRPr="00374F49" w:rsidRDefault="00501B70" w:rsidP="009249F0">
      <w:pPr>
        <w:pStyle w:val="Akapitzlist"/>
        <w:numPr>
          <w:ilvl w:val="0"/>
          <w:numId w:val="7"/>
        </w:numPr>
        <w:spacing w:after="160" w:line="360" w:lineRule="auto"/>
        <w:jc w:val="both"/>
        <w:rPr>
          <w:rFonts w:ascii="Arial" w:hAnsi="Arial" w:cs="Arial"/>
        </w:rPr>
      </w:pPr>
      <w:r w:rsidRPr="00374F49">
        <w:rPr>
          <w:rFonts w:ascii="Arial" w:hAnsi="Arial" w:cs="Arial"/>
        </w:rPr>
        <w:t xml:space="preserve">Formularze egzaminacyjne z części pisemnej wraz z </w:t>
      </w:r>
      <w:r w:rsidR="00F44AB7" w:rsidRPr="00374F49">
        <w:rPr>
          <w:rFonts w:ascii="Arial" w:hAnsi="Arial" w:cs="Arial"/>
        </w:rPr>
        <w:t>odpowiedziami składane są w biurze SD w</w:t>
      </w:r>
      <w:r w:rsidR="00D258D4" w:rsidRPr="00374F49">
        <w:rPr>
          <w:rFonts w:ascii="Arial" w:hAnsi="Arial" w:cs="Arial"/>
        </w:rPr>
        <w:t xml:space="preserve">raz </w:t>
      </w:r>
      <w:r w:rsidR="00112233" w:rsidRPr="00374F49">
        <w:rPr>
          <w:rFonts w:ascii="Arial" w:hAnsi="Arial" w:cs="Arial"/>
        </w:rPr>
        <w:t xml:space="preserve">z protokołem z egzaminu kierunkowego. </w:t>
      </w:r>
    </w:p>
    <w:p w14:paraId="4BB2E216" w14:textId="2DAB4991" w:rsidR="00EC13C1" w:rsidRPr="00374F49" w:rsidRDefault="007B221F" w:rsidP="00923D69">
      <w:pPr>
        <w:pStyle w:val="Akapitzlist"/>
        <w:numPr>
          <w:ilvl w:val="0"/>
          <w:numId w:val="7"/>
        </w:numPr>
        <w:spacing w:after="160" w:line="360" w:lineRule="auto"/>
        <w:jc w:val="both"/>
        <w:rPr>
          <w:rFonts w:ascii="Arial" w:hAnsi="Arial" w:cs="Arial"/>
        </w:rPr>
      </w:pPr>
      <w:r w:rsidRPr="00374F49">
        <w:rPr>
          <w:rFonts w:ascii="Arial" w:hAnsi="Arial" w:cs="Arial"/>
        </w:rPr>
        <w:t xml:space="preserve">Z </w:t>
      </w:r>
      <w:r w:rsidR="00ED5895" w:rsidRPr="00374F49">
        <w:rPr>
          <w:rFonts w:ascii="Arial" w:hAnsi="Arial" w:cs="Arial"/>
        </w:rPr>
        <w:t xml:space="preserve">egzaminu kierunkowego sporządza się protokół według załącznika. </w:t>
      </w:r>
      <w:r w:rsidR="00DB25E9" w:rsidRPr="00374F49">
        <w:rPr>
          <w:rFonts w:ascii="Arial" w:hAnsi="Arial" w:cs="Arial"/>
        </w:rPr>
        <w:t xml:space="preserve">Protokół jest składany w biurze </w:t>
      </w:r>
      <w:r w:rsidR="002D0F6B" w:rsidRPr="00374F49">
        <w:rPr>
          <w:rFonts w:ascii="Arial" w:hAnsi="Arial" w:cs="Arial"/>
        </w:rPr>
        <w:t>w ciągu trzech dni po zakończenie egzaminu</w:t>
      </w:r>
      <w:r w:rsidR="00DB25E9" w:rsidRPr="00374F49">
        <w:rPr>
          <w:rFonts w:ascii="Arial" w:hAnsi="Arial" w:cs="Arial"/>
        </w:rPr>
        <w:t>.</w:t>
      </w:r>
      <w:r w:rsidR="00F44AB7" w:rsidRPr="00374F49">
        <w:rPr>
          <w:rFonts w:ascii="Arial" w:hAnsi="Arial" w:cs="Arial"/>
        </w:rPr>
        <w:t xml:space="preserve"> </w:t>
      </w:r>
      <w:bookmarkEnd w:id="0"/>
    </w:p>
    <w:sectPr w:rsidR="00EC13C1" w:rsidRPr="00374F49" w:rsidSect="00906BE1">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D7266" w14:textId="77777777" w:rsidR="00C75263" w:rsidRDefault="00C75263" w:rsidP="003D7F4A">
      <w:pPr>
        <w:spacing w:after="0" w:line="240" w:lineRule="auto"/>
      </w:pPr>
      <w:r>
        <w:separator/>
      </w:r>
    </w:p>
  </w:endnote>
  <w:endnote w:type="continuationSeparator" w:id="0">
    <w:p w14:paraId="2C1AE6E6" w14:textId="77777777" w:rsidR="00C75263" w:rsidRDefault="00C75263" w:rsidP="003D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735583"/>
      <w:docPartObj>
        <w:docPartGallery w:val="Page Numbers (Bottom of Page)"/>
        <w:docPartUnique/>
      </w:docPartObj>
    </w:sdtPr>
    <w:sdtEndPr/>
    <w:sdtContent>
      <w:p w14:paraId="7D52790E" w14:textId="3D09C283" w:rsidR="003D7F4A" w:rsidRDefault="003D7F4A">
        <w:pPr>
          <w:pStyle w:val="Stopka"/>
          <w:jc w:val="center"/>
        </w:pPr>
        <w:r>
          <w:fldChar w:fldCharType="begin"/>
        </w:r>
        <w:r>
          <w:instrText>PAGE   \* MERGEFORMAT</w:instrText>
        </w:r>
        <w:r>
          <w:fldChar w:fldCharType="separate"/>
        </w:r>
        <w:r>
          <w:t>2</w:t>
        </w:r>
        <w:r>
          <w:fldChar w:fldCharType="end"/>
        </w:r>
      </w:p>
    </w:sdtContent>
  </w:sdt>
  <w:p w14:paraId="253D8A4F" w14:textId="77777777" w:rsidR="003D7F4A" w:rsidRDefault="003D7F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0F45" w14:textId="77777777" w:rsidR="00C75263" w:rsidRDefault="00C75263" w:rsidP="003D7F4A">
      <w:pPr>
        <w:spacing w:after="0" w:line="240" w:lineRule="auto"/>
      </w:pPr>
      <w:r>
        <w:separator/>
      </w:r>
    </w:p>
  </w:footnote>
  <w:footnote w:type="continuationSeparator" w:id="0">
    <w:p w14:paraId="69F3E0AA" w14:textId="77777777" w:rsidR="00C75263" w:rsidRDefault="00C75263" w:rsidP="003D7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166F"/>
    <w:multiLevelType w:val="hybridMultilevel"/>
    <w:tmpl w:val="6E42412A"/>
    <w:lvl w:ilvl="0" w:tplc="87AEA3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F071655"/>
    <w:multiLevelType w:val="hybridMultilevel"/>
    <w:tmpl w:val="AAD64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841DFE"/>
    <w:multiLevelType w:val="hybridMultilevel"/>
    <w:tmpl w:val="F3CA5546"/>
    <w:lvl w:ilvl="0" w:tplc="FFFFFFFF">
      <w:start w:val="1"/>
      <w:numFmt w:val="ideographDigital"/>
      <w:lvlText w:val=""/>
      <w:lvlJc w:val="left"/>
      <w:pPr>
        <w:ind w:left="4248" w:firstLine="0"/>
      </w:pPr>
    </w:lvl>
    <w:lvl w:ilvl="1" w:tplc="04150001">
      <w:start w:val="1"/>
      <w:numFmt w:val="bullet"/>
      <w:lvlText w:val=""/>
      <w:lvlJc w:val="left"/>
      <w:pPr>
        <w:ind w:left="4248" w:firstLine="0"/>
      </w:pPr>
      <w:rPr>
        <w:rFonts w:ascii="Symbol" w:hAnsi="Symbol" w:hint="default"/>
      </w:rPr>
    </w:lvl>
    <w:lvl w:ilvl="2" w:tplc="FFFFFFFF">
      <w:numFmt w:val="decimal"/>
      <w:lvlText w:val=""/>
      <w:lvlJc w:val="left"/>
      <w:pPr>
        <w:ind w:left="4248" w:firstLine="0"/>
      </w:pPr>
    </w:lvl>
    <w:lvl w:ilvl="3" w:tplc="FFFFFFFF">
      <w:numFmt w:val="decimal"/>
      <w:lvlText w:val=""/>
      <w:lvlJc w:val="left"/>
      <w:pPr>
        <w:ind w:left="4248" w:firstLine="0"/>
      </w:pPr>
    </w:lvl>
    <w:lvl w:ilvl="4" w:tplc="04150001">
      <w:start w:val="1"/>
      <w:numFmt w:val="bullet"/>
      <w:lvlText w:val=""/>
      <w:lvlJc w:val="left"/>
      <w:pPr>
        <w:ind w:left="4248" w:firstLine="0"/>
      </w:pPr>
      <w:rPr>
        <w:rFonts w:ascii="Symbol" w:hAnsi="Symbol" w:hint="default"/>
      </w:rPr>
    </w:lvl>
    <w:lvl w:ilvl="5" w:tplc="04150001">
      <w:start w:val="1"/>
      <w:numFmt w:val="bullet"/>
      <w:lvlText w:val=""/>
      <w:lvlJc w:val="left"/>
      <w:pPr>
        <w:ind w:left="4248" w:firstLine="0"/>
      </w:pPr>
      <w:rPr>
        <w:rFonts w:ascii="Symbol" w:hAnsi="Symbol" w:hint="default"/>
      </w:rPr>
    </w:lvl>
    <w:lvl w:ilvl="6" w:tplc="FFFFFFFF">
      <w:numFmt w:val="decimal"/>
      <w:lvlText w:val=""/>
      <w:lvlJc w:val="left"/>
      <w:pPr>
        <w:ind w:left="4248" w:firstLine="0"/>
      </w:pPr>
    </w:lvl>
    <w:lvl w:ilvl="7" w:tplc="FFFFFFFF">
      <w:numFmt w:val="decimal"/>
      <w:lvlText w:val=""/>
      <w:lvlJc w:val="left"/>
      <w:pPr>
        <w:ind w:left="4248" w:firstLine="0"/>
      </w:pPr>
    </w:lvl>
    <w:lvl w:ilvl="8" w:tplc="FFFFFFFF">
      <w:numFmt w:val="decimal"/>
      <w:lvlText w:val=""/>
      <w:lvlJc w:val="left"/>
      <w:pPr>
        <w:ind w:left="4248" w:firstLine="0"/>
      </w:pPr>
    </w:lvl>
  </w:abstractNum>
  <w:abstractNum w:abstractNumId="3" w15:restartNumberingAfterBreak="0">
    <w:nsid w:val="5FC607A6"/>
    <w:multiLevelType w:val="hybridMultilevel"/>
    <w:tmpl w:val="2C8A2F90"/>
    <w:lvl w:ilvl="0" w:tplc="6F7417D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6CB69B9"/>
    <w:multiLevelType w:val="hybridMultilevel"/>
    <w:tmpl w:val="A5BE35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8E43A68"/>
    <w:multiLevelType w:val="hybridMultilevel"/>
    <w:tmpl w:val="B3067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350EBA"/>
    <w:multiLevelType w:val="hybridMultilevel"/>
    <w:tmpl w:val="908CE85A"/>
    <w:lvl w:ilvl="0" w:tplc="F318822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4274ACE"/>
    <w:multiLevelType w:val="hybridMultilevel"/>
    <w:tmpl w:val="B3067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13"/>
    <w:rsid w:val="000074E1"/>
    <w:rsid w:val="00011B3E"/>
    <w:rsid w:val="000163DD"/>
    <w:rsid w:val="00034F85"/>
    <w:rsid w:val="00035226"/>
    <w:rsid w:val="000509B7"/>
    <w:rsid w:val="0005427A"/>
    <w:rsid w:val="00072AC5"/>
    <w:rsid w:val="00074E74"/>
    <w:rsid w:val="0008080D"/>
    <w:rsid w:val="00084B0E"/>
    <w:rsid w:val="0008555E"/>
    <w:rsid w:val="00087F89"/>
    <w:rsid w:val="00090F22"/>
    <w:rsid w:val="000A3C00"/>
    <w:rsid w:val="000A5630"/>
    <w:rsid w:val="000A7E07"/>
    <w:rsid w:val="000B14BB"/>
    <w:rsid w:val="000B35CF"/>
    <w:rsid w:val="000D57E1"/>
    <w:rsid w:val="000E11DF"/>
    <w:rsid w:val="00100819"/>
    <w:rsid w:val="0011195E"/>
    <w:rsid w:val="00112233"/>
    <w:rsid w:val="00113E1A"/>
    <w:rsid w:val="0011406A"/>
    <w:rsid w:val="0011517F"/>
    <w:rsid w:val="00137BE1"/>
    <w:rsid w:val="00144B17"/>
    <w:rsid w:val="00162F6C"/>
    <w:rsid w:val="00175A5E"/>
    <w:rsid w:val="00175D1A"/>
    <w:rsid w:val="001C2AB2"/>
    <w:rsid w:val="001D4B37"/>
    <w:rsid w:val="001F2E50"/>
    <w:rsid w:val="001F685B"/>
    <w:rsid w:val="00241485"/>
    <w:rsid w:val="00244D2A"/>
    <w:rsid w:val="00247B58"/>
    <w:rsid w:val="00250891"/>
    <w:rsid w:val="00250F13"/>
    <w:rsid w:val="00266ACA"/>
    <w:rsid w:val="00266B09"/>
    <w:rsid w:val="002D0F6B"/>
    <w:rsid w:val="002D1E31"/>
    <w:rsid w:val="002F1E4A"/>
    <w:rsid w:val="00301F0E"/>
    <w:rsid w:val="003200BD"/>
    <w:rsid w:val="00322C44"/>
    <w:rsid w:val="00323EAF"/>
    <w:rsid w:val="003500B9"/>
    <w:rsid w:val="00364565"/>
    <w:rsid w:val="0037419C"/>
    <w:rsid w:val="00374F49"/>
    <w:rsid w:val="003869AC"/>
    <w:rsid w:val="00391D0C"/>
    <w:rsid w:val="003D4D61"/>
    <w:rsid w:val="003D7F4A"/>
    <w:rsid w:val="00404E54"/>
    <w:rsid w:val="00413786"/>
    <w:rsid w:val="004238C4"/>
    <w:rsid w:val="00485169"/>
    <w:rsid w:val="004B6773"/>
    <w:rsid w:val="004C384F"/>
    <w:rsid w:val="004C4F06"/>
    <w:rsid w:val="004E7BC1"/>
    <w:rsid w:val="00501B70"/>
    <w:rsid w:val="005114B4"/>
    <w:rsid w:val="005242CE"/>
    <w:rsid w:val="005261B2"/>
    <w:rsid w:val="00530834"/>
    <w:rsid w:val="00552FB0"/>
    <w:rsid w:val="005776BB"/>
    <w:rsid w:val="00580BA0"/>
    <w:rsid w:val="00586A4D"/>
    <w:rsid w:val="00596FD4"/>
    <w:rsid w:val="005D1D8D"/>
    <w:rsid w:val="005F5298"/>
    <w:rsid w:val="005F7304"/>
    <w:rsid w:val="00610152"/>
    <w:rsid w:val="00661927"/>
    <w:rsid w:val="006B2A91"/>
    <w:rsid w:val="006B7845"/>
    <w:rsid w:val="006D74D9"/>
    <w:rsid w:val="006F4EDA"/>
    <w:rsid w:val="00701C3D"/>
    <w:rsid w:val="00702317"/>
    <w:rsid w:val="00731143"/>
    <w:rsid w:val="00763636"/>
    <w:rsid w:val="007772DC"/>
    <w:rsid w:val="007862C3"/>
    <w:rsid w:val="00793CF8"/>
    <w:rsid w:val="007A52D7"/>
    <w:rsid w:val="007B221F"/>
    <w:rsid w:val="007C1864"/>
    <w:rsid w:val="007C6153"/>
    <w:rsid w:val="00807C07"/>
    <w:rsid w:val="00810306"/>
    <w:rsid w:val="008702C0"/>
    <w:rsid w:val="00871F1B"/>
    <w:rsid w:val="008831CB"/>
    <w:rsid w:val="008D44A4"/>
    <w:rsid w:val="008F5487"/>
    <w:rsid w:val="00906BE1"/>
    <w:rsid w:val="00915B26"/>
    <w:rsid w:val="00923D69"/>
    <w:rsid w:val="009249F0"/>
    <w:rsid w:val="009425E9"/>
    <w:rsid w:val="00945553"/>
    <w:rsid w:val="00957677"/>
    <w:rsid w:val="00982563"/>
    <w:rsid w:val="00987469"/>
    <w:rsid w:val="009B0688"/>
    <w:rsid w:val="009B2C8B"/>
    <w:rsid w:val="009C4C72"/>
    <w:rsid w:val="009D1610"/>
    <w:rsid w:val="009D18E9"/>
    <w:rsid w:val="009E7B3F"/>
    <w:rsid w:val="00A125F6"/>
    <w:rsid w:val="00A321D4"/>
    <w:rsid w:val="00A370D0"/>
    <w:rsid w:val="00A53332"/>
    <w:rsid w:val="00A7178B"/>
    <w:rsid w:val="00A96416"/>
    <w:rsid w:val="00AA3E97"/>
    <w:rsid w:val="00AA5D93"/>
    <w:rsid w:val="00B144C4"/>
    <w:rsid w:val="00B31633"/>
    <w:rsid w:val="00B33232"/>
    <w:rsid w:val="00B37BC8"/>
    <w:rsid w:val="00B40E6B"/>
    <w:rsid w:val="00B57483"/>
    <w:rsid w:val="00B72C87"/>
    <w:rsid w:val="00B77AFA"/>
    <w:rsid w:val="00BC1389"/>
    <w:rsid w:val="00BD1EE9"/>
    <w:rsid w:val="00C50778"/>
    <w:rsid w:val="00C61383"/>
    <w:rsid w:val="00C7262B"/>
    <w:rsid w:val="00C75136"/>
    <w:rsid w:val="00C75263"/>
    <w:rsid w:val="00C80CEF"/>
    <w:rsid w:val="00CA1762"/>
    <w:rsid w:val="00CB147B"/>
    <w:rsid w:val="00CC3056"/>
    <w:rsid w:val="00CD2050"/>
    <w:rsid w:val="00D258D4"/>
    <w:rsid w:val="00D50C01"/>
    <w:rsid w:val="00D542C9"/>
    <w:rsid w:val="00D70419"/>
    <w:rsid w:val="00D756EE"/>
    <w:rsid w:val="00D75E49"/>
    <w:rsid w:val="00D81253"/>
    <w:rsid w:val="00D819AF"/>
    <w:rsid w:val="00D82D70"/>
    <w:rsid w:val="00D85A8E"/>
    <w:rsid w:val="00D974D8"/>
    <w:rsid w:val="00DB18C1"/>
    <w:rsid w:val="00DB25E9"/>
    <w:rsid w:val="00DC4A74"/>
    <w:rsid w:val="00DD1C42"/>
    <w:rsid w:val="00DD6694"/>
    <w:rsid w:val="00DF4BC8"/>
    <w:rsid w:val="00DF6BF6"/>
    <w:rsid w:val="00E02E94"/>
    <w:rsid w:val="00E20C68"/>
    <w:rsid w:val="00E53698"/>
    <w:rsid w:val="00E54A73"/>
    <w:rsid w:val="00E66452"/>
    <w:rsid w:val="00E71E29"/>
    <w:rsid w:val="00E83D72"/>
    <w:rsid w:val="00EA1025"/>
    <w:rsid w:val="00EA3DC5"/>
    <w:rsid w:val="00EA70BE"/>
    <w:rsid w:val="00EC13C1"/>
    <w:rsid w:val="00ED5895"/>
    <w:rsid w:val="00EF2740"/>
    <w:rsid w:val="00EF3B03"/>
    <w:rsid w:val="00F037FB"/>
    <w:rsid w:val="00F06994"/>
    <w:rsid w:val="00F0730A"/>
    <w:rsid w:val="00F1039F"/>
    <w:rsid w:val="00F16A6D"/>
    <w:rsid w:val="00F33DCE"/>
    <w:rsid w:val="00F44AB7"/>
    <w:rsid w:val="00F77F8B"/>
    <w:rsid w:val="00FA1445"/>
    <w:rsid w:val="00FB1B71"/>
    <w:rsid w:val="00FB3E97"/>
    <w:rsid w:val="00FD41BF"/>
    <w:rsid w:val="00FE4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7593"/>
  <w15:chartTrackingRefBased/>
  <w15:docId w15:val="{EC87D8C4-A44E-4FD3-B971-C604D7DD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D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3D6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923D69"/>
    <w:pPr>
      <w:spacing w:after="0" w:line="240" w:lineRule="auto"/>
      <w:ind w:left="720"/>
      <w:contextualSpacing/>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C6153"/>
    <w:rPr>
      <w:sz w:val="16"/>
      <w:szCs w:val="16"/>
    </w:rPr>
  </w:style>
  <w:style w:type="paragraph" w:styleId="Tekstkomentarza">
    <w:name w:val="annotation text"/>
    <w:basedOn w:val="Normalny"/>
    <w:link w:val="TekstkomentarzaZnak"/>
    <w:uiPriority w:val="99"/>
    <w:semiHidden/>
    <w:unhideWhenUsed/>
    <w:rsid w:val="007C61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6153"/>
    <w:rPr>
      <w:sz w:val="20"/>
      <w:szCs w:val="20"/>
    </w:rPr>
  </w:style>
  <w:style w:type="paragraph" w:styleId="Tematkomentarza">
    <w:name w:val="annotation subject"/>
    <w:basedOn w:val="Tekstkomentarza"/>
    <w:next w:val="Tekstkomentarza"/>
    <w:link w:val="TematkomentarzaZnak"/>
    <w:uiPriority w:val="99"/>
    <w:semiHidden/>
    <w:unhideWhenUsed/>
    <w:rsid w:val="007C6153"/>
    <w:rPr>
      <w:b/>
      <w:bCs/>
    </w:rPr>
  </w:style>
  <w:style w:type="character" w:customStyle="1" w:styleId="TematkomentarzaZnak">
    <w:name w:val="Temat komentarza Znak"/>
    <w:basedOn w:val="TekstkomentarzaZnak"/>
    <w:link w:val="Tematkomentarza"/>
    <w:uiPriority w:val="99"/>
    <w:semiHidden/>
    <w:rsid w:val="007C6153"/>
    <w:rPr>
      <w:b/>
      <w:bCs/>
      <w:sz w:val="20"/>
      <w:szCs w:val="20"/>
    </w:rPr>
  </w:style>
  <w:style w:type="paragraph" w:styleId="Tekstdymka">
    <w:name w:val="Balloon Text"/>
    <w:basedOn w:val="Normalny"/>
    <w:link w:val="TekstdymkaZnak"/>
    <w:uiPriority w:val="99"/>
    <w:semiHidden/>
    <w:unhideWhenUsed/>
    <w:rsid w:val="007C61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153"/>
    <w:rPr>
      <w:rFonts w:ascii="Segoe UI" w:hAnsi="Segoe UI" w:cs="Segoe UI"/>
      <w:sz w:val="18"/>
      <w:szCs w:val="18"/>
    </w:rPr>
  </w:style>
  <w:style w:type="paragraph" w:styleId="Nagwek">
    <w:name w:val="header"/>
    <w:basedOn w:val="Normalny"/>
    <w:link w:val="NagwekZnak"/>
    <w:uiPriority w:val="99"/>
    <w:unhideWhenUsed/>
    <w:rsid w:val="003D7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F4A"/>
  </w:style>
  <w:style w:type="paragraph" w:styleId="Stopka">
    <w:name w:val="footer"/>
    <w:basedOn w:val="Normalny"/>
    <w:link w:val="StopkaZnak"/>
    <w:uiPriority w:val="99"/>
    <w:unhideWhenUsed/>
    <w:rsid w:val="003D7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288761A4BD1448AB6D99C7432A16C3" ma:contentTypeVersion="1" ma:contentTypeDescription="Utwórz nowy dokument." ma:contentTypeScope="" ma:versionID="1096c4c952e8153299bb70bf97ed8b37">
  <xsd:schema xmlns:xsd="http://www.w3.org/2001/XMLSchema" xmlns:xs="http://www.w3.org/2001/XMLSchema" xmlns:p="http://schemas.microsoft.com/office/2006/metadata/properties" xmlns:ns1="http://schemas.microsoft.com/sharepoint/v3" targetNamespace="http://schemas.microsoft.com/office/2006/metadata/properties" ma:root="true" ma:fieldsID="d5655aa40fd62c26d3cd695d3e5ffb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A84B7-82DC-49EC-AC8D-1C3CF95EE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52BB7F-1994-445D-A70E-FC8E642A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78F2B-E1F1-4877-9929-85D2CB7C7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2130</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 Witek-Hajduk</dc:creator>
  <cp:keywords/>
  <dc:description/>
  <cp:lastModifiedBy>Justyna Kapturkiewicz</cp:lastModifiedBy>
  <cp:revision>2</cp:revision>
  <dcterms:created xsi:type="dcterms:W3CDTF">2021-02-26T08:47:00Z</dcterms:created>
  <dcterms:modified xsi:type="dcterms:W3CDTF">2021-02-26T08:47:00Z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0x01010041288761A4BD1448AB6D99C7432A16C3</vt:lpwstr>
  </property>
</Properties>
</file>